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特克斯县特克斯镇卫生院</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特克斯县特克斯镇卫生院</w:t>
      </w:r>
    </w:p>
    <w:p>
      <w:pPr>
        <w:spacing w:line="700" w:lineRule="exact"/>
        <w:ind w:firstLine="2642" w:firstLineChars="734"/>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jc w:val="left"/>
        <w:rPr>
          <w:rStyle w:val="16"/>
          <w:rFonts w:hint="eastAsia"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1.为人民健康医疗与预防保健服务，常见病多发病的治疗和护理；</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2.预防保健；卫生人员技术培训；</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lang w:eastAsia="zh-CN"/>
        </w:rPr>
        <w:t>职能表现形式有疾病控制防疫、妇幼儿童保健、门诊住院医疗、急诊抢救、防病治病等救死扶伤等。</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（1）组织机构设置：</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特克斯县特克斯镇卫生院无下属预算单位，下设 6个处室，分别是：内科、外科、妇产科、药房、公共卫生科、检验科。</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（2）2021年特克斯县特克斯镇卫生院实有在职人员为25人，其中：</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事业在职 25  人（上年28人），同比上年减少3 人；</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t>实有离休人员</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w:t>
      </w:r>
      <w:r>
        <w:rPr>
          <w:rFonts w:hint="eastAsia" w:ascii="仿宋_GB2312" w:hAnsi="楷体" w:eastAsia="仿宋_GB2312"/>
          <w:b/>
          <w:spacing w:val="-4"/>
          <w:sz w:val="28"/>
          <w:szCs w:val="28"/>
        </w:rPr>
        <w:t xml:space="preserve"> </w:t>
      </w:r>
      <w:r>
        <w:rPr>
          <w:rStyle w:val="16"/>
          <w:rFonts w:hint="eastAsia" w:ascii="仿宋_GB2312" w:hAnsi="楷体" w:eastAsia="仿宋_GB2312" w:cs="Times New Roman"/>
          <w:b w:val="0"/>
          <w:spacing w:val="-4"/>
          <w:sz w:val="28"/>
          <w:szCs w:val="28"/>
          <w:lang w:val="en-US" w:eastAsia="zh-CN"/>
        </w:rPr>
        <w:t>与上年一致;</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实有退休人员7人（上年5人）, 同比上年增加2人。</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bookmarkStart w:id="6" w:name="_Toc70450294"/>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cs="Times New Roman"/>
          <w:b w:val="0"/>
          <w:spacing w:val="-4"/>
          <w:sz w:val="28"/>
          <w:szCs w:val="28"/>
          <w:lang w:val="en-US" w:eastAsia="zh-CN"/>
        </w:rPr>
        <w:t>加强档案管理、数据汇总；</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2.上报认真落实基本公共卫生服务工作，完成上级下达的工作指标；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3.加强预防接种中心的设置建设和运行管理，为适龄儿童提供免费的国家免疫规划疫苗接种服务，及时发现、报告并协助处理疑似预防接种异常反应、做好各类疫</w:t>
      </w:r>
      <w:r>
        <w:rPr>
          <w:rStyle w:val="16"/>
          <w:rFonts w:hint="eastAsia" w:ascii="仿宋_GB2312" w:hAnsi="楷体" w:eastAsia="仿宋_GB2312"/>
          <w:b w:val="0"/>
          <w:spacing w:val="-4"/>
          <w:sz w:val="28"/>
          <w:szCs w:val="28"/>
          <w:lang w:val="en-US" w:eastAsia="zh-CN"/>
        </w:rPr>
        <w:t>苗出入库管理工作。继续做好优质服务基层工作；</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p>
    <w:p>
      <w:pPr>
        <w:spacing w:line="360" w:lineRule="auto"/>
        <w:ind w:firstLine="562" w:firstLineChars="200"/>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hint="eastAsia"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heme="minorBidi"/>
          <w:b w:val="0"/>
          <w:bCs/>
          <w:spacing w:val="-4"/>
          <w:kern w:val="2"/>
          <w:sz w:val="28"/>
          <w:szCs w:val="28"/>
          <w:lang w:val="en-US" w:eastAsia="zh-CN" w:bidi="ar-SA"/>
        </w:rPr>
        <w:t>2021年批复我单位预算为611.57 万元，其中：财政拨款为611.57万元。年中追加资金335.07万元,</w:t>
      </w:r>
      <w:r>
        <w:rPr>
          <w:rStyle w:val="16"/>
          <w:rFonts w:hint="eastAsia" w:ascii="仿宋_GB2312" w:hAnsi="楷体" w:eastAsia="仿宋_GB2312"/>
          <w:b w:val="0"/>
          <w:bCs/>
          <w:spacing w:val="-4"/>
          <w:sz w:val="28"/>
          <w:szCs w:val="28"/>
        </w:rPr>
        <w:t>调整率</w:t>
      </w:r>
      <w:r>
        <w:rPr>
          <w:rStyle w:val="16"/>
          <w:rFonts w:hint="eastAsia" w:ascii="仿宋_GB2312" w:hAnsi="楷体" w:eastAsia="仿宋_GB2312"/>
          <w:b w:val="0"/>
          <w:bCs/>
          <w:spacing w:val="-4"/>
          <w:sz w:val="28"/>
          <w:szCs w:val="28"/>
          <w:lang w:val="en-US" w:eastAsia="zh-CN"/>
        </w:rPr>
        <w:t>121.18</w:t>
      </w:r>
      <w:r>
        <w:rPr>
          <w:rStyle w:val="16"/>
          <w:rFonts w:hint="eastAsia" w:ascii="仿宋_GB2312" w:hAnsi="楷体" w:eastAsia="仿宋_GB2312"/>
          <w:b w:val="0"/>
          <w:bCs/>
          <w:spacing w:val="-4"/>
          <w:sz w:val="28"/>
          <w:szCs w:val="28"/>
        </w:rPr>
        <w:t>%</w:t>
      </w:r>
      <w:r>
        <w:rPr>
          <w:rStyle w:val="16"/>
          <w:rFonts w:hint="eastAsia" w:ascii="仿宋_GB2312" w:hAnsi="楷体" w:eastAsia="仿宋_GB2312"/>
          <w:b w:val="0"/>
          <w:bCs/>
          <w:spacing w:val="-4"/>
          <w:sz w:val="28"/>
          <w:szCs w:val="28"/>
          <w:lang w:eastAsia="zh-CN"/>
        </w:rPr>
        <w:t>。</w:t>
      </w:r>
      <w:r>
        <w:rPr>
          <w:rStyle w:val="16"/>
          <w:rFonts w:hint="eastAsia" w:ascii="仿宋_GB2312" w:hAnsi="楷体" w:eastAsia="仿宋_GB2312"/>
          <w:b w:val="0"/>
          <w:bCs/>
          <w:spacing w:val="-4"/>
          <w:sz w:val="28"/>
          <w:szCs w:val="28"/>
        </w:rPr>
        <w:t>对比上年</w:t>
      </w:r>
      <w:r>
        <w:rPr>
          <w:rStyle w:val="16"/>
          <w:rFonts w:ascii="仿宋_GB2312" w:hAnsi="楷体" w:eastAsia="仿宋_GB2312"/>
          <w:b w:val="0"/>
          <w:bCs/>
          <w:spacing w:val="-4"/>
          <w:sz w:val="28"/>
          <w:szCs w:val="28"/>
        </w:rPr>
        <w:t xml:space="preserve"> </w:t>
      </w:r>
      <w:r>
        <w:rPr>
          <w:rStyle w:val="16"/>
          <w:rFonts w:hint="eastAsia" w:ascii="仿宋_GB2312" w:hAnsi="楷体" w:eastAsia="仿宋_GB2312"/>
          <w:b w:val="0"/>
          <w:bCs/>
          <w:spacing w:val="-4"/>
          <w:sz w:val="28"/>
          <w:szCs w:val="28"/>
          <w:lang w:val="en-US" w:eastAsia="zh-CN"/>
        </w:rPr>
        <w:t>296.9</w:t>
      </w:r>
      <w:r>
        <w:rPr>
          <w:rStyle w:val="16"/>
          <w:rFonts w:ascii="仿宋_GB2312" w:hAnsi="楷体" w:eastAsia="仿宋_GB2312"/>
          <w:b w:val="0"/>
          <w:bCs/>
          <w:spacing w:val="-4"/>
          <w:sz w:val="28"/>
          <w:szCs w:val="28"/>
        </w:rPr>
        <w:t xml:space="preserve"> </w:t>
      </w:r>
      <w:r>
        <w:rPr>
          <w:rStyle w:val="16"/>
          <w:rFonts w:hint="eastAsia" w:ascii="仿宋_GB2312" w:hAnsi="楷体" w:eastAsia="仿宋_GB2312"/>
          <w:b w:val="0"/>
          <w:bCs/>
          <w:spacing w:val="-4"/>
          <w:sz w:val="28"/>
          <w:szCs w:val="28"/>
        </w:rPr>
        <w:t>万元</w:t>
      </w:r>
      <w:r>
        <w:rPr>
          <w:rStyle w:val="16"/>
          <w:rFonts w:hint="eastAsia" w:ascii="仿宋_GB2312" w:hAnsi="楷体" w:eastAsia="仿宋_GB2312"/>
          <w:b w:val="0"/>
          <w:bCs/>
          <w:spacing w:val="-4"/>
          <w:sz w:val="28"/>
          <w:szCs w:val="28"/>
          <w:lang w:val="en-US" w:eastAsia="zh-CN"/>
        </w:rPr>
        <w:t>增</w:t>
      </w:r>
      <w:r>
        <w:rPr>
          <w:rStyle w:val="16"/>
          <w:rFonts w:hint="eastAsia" w:ascii="仿宋_GB2312" w:hAnsi="楷体" w:eastAsia="仿宋_GB2312" w:cs="Times New Roman"/>
          <w:b w:val="0"/>
          <w:spacing w:val="-4"/>
          <w:sz w:val="28"/>
          <w:szCs w:val="28"/>
          <w:lang w:val="en-US" w:eastAsia="zh-CN"/>
        </w:rPr>
        <w:t>加 314.67万元，上升105.99%。</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2021年实际决算支出611.57万元，执行率100%，其中：</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cs="Times New Roman"/>
          <w:b w:val="0"/>
          <w:spacing w:val="-4"/>
          <w:sz w:val="28"/>
          <w:szCs w:val="28"/>
          <w:lang w:val="en-US" w:eastAsia="zh-CN"/>
        </w:rPr>
        <w:t>（1）基本支出 337.7 万元，占总支出的55.</w:t>
      </w:r>
      <w:r>
        <w:rPr>
          <w:rStyle w:val="16"/>
          <w:rFonts w:hint="eastAsia" w:ascii="仿宋_GB2312" w:hAnsi="楷体" w:eastAsia="仿宋_GB2312"/>
          <w:b w:val="0"/>
          <w:spacing w:val="-4"/>
          <w:sz w:val="28"/>
          <w:szCs w:val="28"/>
          <w:lang w:val="en-US" w:eastAsia="zh-CN"/>
        </w:rPr>
        <w:t>22</w:t>
      </w:r>
      <w:r>
        <w:rPr>
          <w:rStyle w:val="16"/>
          <w:rFonts w:hint="eastAsia" w:ascii="仿宋_GB2312" w:hAnsi="楷体" w:eastAsia="仿宋_GB2312"/>
          <w:b w:val="0"/>
          <w:spacing w:val="-4"/>
          <w:sz w:val="28"/>
          <w:szCs w:val="28"/>
        </w:rPr>
        <w:t>％，主要用于本</w:t>
      </w:r>
      <w:r>
        <w:rPr>
          <w:rStyle w:val="16"/>
          <w:rFonts w:hint="eastAsia" w:ascii="仿宋_GB2312" w:hAnsi="楷体" w:eastAsia="仿宋_GB2312"/>
          <w:b w:val="0"/>
          <w:spacing w:val="-4"/>
          <w:sz w:val="28"/>
          <w:szCs w:val="28"/>
          <w:lang w:eastAsia="zh-CN"/>
        </w:rPr>
        <w:t>单位</w:t>
      </w:r>
      <w:r>
        <w:rPr>
          <w:rStyle w:val="16"/>
          <w:rFonts w:hint="eastAsia" w:ascii="仿宋_GB2312" w:hAnsi="楷体" w:eastAsia="仿宋_GB2312"/>
          <w:b w:val="0"/>
          <w:spacing w:val="-4"/>
          <w:sz w:val="28"/>
          <w:szCs w:val="28"/>
        </w:rPr>
        <w:t>部门机构正常运转、完成日常工作任务而发生的各项支出。其中：工资福利支出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326.64</w:t>
      </w:r>
      <w:r>
        <w:rPr>
          <w:rStyle w:val="16"/>
          <w:rFonts w:hint="eastAsia" w:ascii="仿宋_GB2312" w:hAnsi="楷体" w:eastAsia="仿宋_GB2312"/>
          <w:b w:val="0"/>
          <w:spacing w:val="-4"/>
          <w:sz w:val="28"/>
          <w:szCs w:val="28"/>
        </w:rPr>
        <w:t>万元，主要用于在职基本工资、津贴补贴等人员经费。商品和服务支出</w:t>
      </w:r>
      <w:r>
        <w:rPr>
          <w:rStyle w:val="16"/>
          <w:rFonts w:hint="eastAsia" w:ascii="仿宋_GB2312" w:hAnsi="楷体" w:eastAsia="仿宋_GB2312"/>
          <w:b w:val="0"/>
          <w:spacing w:val="-4"/>
          <w:sz w:val="28"/>
          <w:szCs w:val="28"/>
          <w:lang w:val="en-US" w:eastAsia="zh-CN"/>
        </w:rPr>
        <w:t>3.08</w:t>
      </w:r>
      <w:r>
        <w:rPr>
          <w:rStyle w:val="16"/>
          <w:rFonts w:hint="eastAsia" w:ascii="仿宋_GB2312" w:hAnsi="楷体" w:eastAsia="仿宋_GB2312"/>
          <w:b w:val="0"/>
          <w:spacing w:val="-4"/>
          <w:sz w:val="28"/>
          <w:szCs w:val="28"/>
        </w:rPr>
        <w:t>万元，主要用于办公费等。对个人和家庭的补助</w:t>
      </w:r>
      <w:r>
        <w:rPr>
          <w:rStyle w:val="16"/>
          <w:rFonts w:hint="eastAsia" w:ascii="仿宋_GB2312" w:hAnsi="楷体" w:eastAsia="仿宋_GB2312"/>
          <w:b w:val="0"/>
          <w:spacing w:val="-4"/>
          <w:sz w:val="28"/>
          <w:szCs w:val="28"/>
          <w:lang w:val="en-US" w:eastAsia="zh-CN"/>
        </w:rPr>
        <w:t>7.98</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退休人员取暖费、医嘱补助及计生补贴</w:t>
      </w:r>
      <w:r>
        <w:rPr>
          <w:rStyle w:val="16"/>
          <w:rFonts w:hint="eastAsia" w:ascii="仿宋_GB2312" w:hAnsi="楷体" w:eastAsia="仿宋_GB2312"/>
          <w:b w:val="0"/>
          <w:spacing w:val="-4"/>
          <w:sz w:val="28"/>
          <w:szCs w:val="28"/>
        </w:rPr>
        <w:t>。</w:t>
      </w:r>
      <w:r>
        <w:rPr>
          <w:rStyle w:val="16"/>
          <w:rFonts w:hint="eastAsia" w:ascii="仿宋_GB2312" w:hAnsi="楷体" w:eastAsia="仿宋_GB2312"/>
          <w:b w:val="0"/>
          <w:color w:val="auto"/>
          <w:spacing w:val="-4"/>
          <w:sz w:val="28"/>
          <w:szCs w:val="28"/>
        </w:rPr>
        <w:t>资</w:t>
      </w:r>
      <w:r>
        <w:rPr>
          <w:rStyle w:val="16"/>
          <w:rFonts w:hint="eastAsia" w:ascii="仿宋_GB2312" w:hAnsi="楷体" w:eastAsia="仿宋_GB2312"/>
          <w:b w:val="0"/>
          <w:color w:val="auto"/>
          <w:spacing w:val="-4"/>
          <w:sz w:val="28"/>
          <w:szCs w:val="28"/>
          <w:highlight w:val="none"/>
        </w:rPr>
        <w:t>本性支出</w:t>
      </w:r>
      <w:r>
        <w:rPr>
          <w:rStyle w:val="16"/>
          <w:rFonts w:hint="eastAsia" w:ascii="仿宋_GB2312" w:hAnsi="楷体" w:eastAsia="仿宋_GB2312"/>
          <w:b w:val="0"/>
          <w:color w:val="auto"/>
          <w:spacing w:val="-4"/>
          <w:sz w:val="28"/>
          <w:szCs w:val="28"/>
          <w:highlight w:val="none"/>
          <w:lang w:val="en-US" w:eastAsia="zh-CN"/>
        </w:rPr>
        <w:t>0</w:t>
      </w:r>
      <w:r>
        <w:rPr>
          <w:rStyle w:val="16"/>
          <w:rFonts w:hint="eastAsia" w:ascii="仿宋_GB2312" w:hAnsi="楷体" w:eastAsia="仿宋_GB2312"/>
          <w:b w:val="0"/>
          <w:color w:val="auto"/>
          <w:spacing w:val="-4"/>
          <w:sz w:val="28"/>
          <w:szCs w:val="28"/>
          <w:highlight w:val="none"/>
        </w:rPr>
        <w:t>万元，主要用于</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lang w:val="en-US" w:eastAsia="zh-CN"/>
        </w:rPr>
        <w:t>无。</w:t>
      </w:r>
      <w:r>
        <w:rPr>
          <w:rStyle w:val="16"/>
          <w:rFonts w:ascii="仿宋_GB2312" w:hAnsi="楷体" w:eastAsia="仿宋_GB2312"/>
          <w:b w:val="0"/>
          <w:spacing w:val="-4"/>
          <w:sz w:val="28"/>
          <w:szCs w:val="28"/>
          <w:highlight w:val="none"/>
        </w:rPr>
        <w:t xml:space="preserve"> </w:t>
      </w:r>
    </w:p>
    <w:p>
      <w:pPr>
        <w:spacing w:line="360" w:lineRule="auto"/>
        <w:ind w:firstLine="544" w:firstLineChars="200"/>
        <w:rPr>
          <w:rStyle w:val="16"/>
          <w:rFonts w:hint="eastAsia" w:ascii="仿宋_GB2312" w:hAnsi="楷体" w:eastAsia="仿宋_GB2312"/>
          <w:b w:val="0"/>
          <w:spacing w:val="-4"/>
          <w:sz w:val="28"/>
          <w:szCs w:val="28"/>
          <w:highlight w:val="none"/>
          <w:lang w:val="en-US" w:eastAsia="zh-CN"/>
        </w:rPr>
      </w:pPr>
      <w:r>
        <w:rPr>
          <w:rStyle w:val="16"/>
          <w:rFonts w:hint="eastAsia" w:ascii="仿宋_GB2312" w:hAnsi="楷体" w:eastAsia="仿宋_GB2312"/>
          <w:b w:val="0"/>
          <w:spacing w:val="-4"/>
          <w:sz w:val="28"/>
          <w:szCs w:val="28"/>
          <w:highlight w:val="none"/>
          <w:lang w:val="en-US" w:eastAsia="zh-CN"/>
        </w:rPr>
        <w:t>(2)</w:t>
      </w:r>
      <w:r>
        <w:rPr>
          <w:rStyle w:val="16"/>
          <w:rFonts w:hint="eastAsia" w:ascii="仿宋_GB2312" w:hAnsi="楷体" w:eastAsia="仿宋_GB2312"/>
          <w:b w:val="0"/>
          <w:spacing w:val="-4"/>
          <w:sz w:val="28"/>
          <w:szCs w:val="28"/>
          <w:highlight w:val="none"/>
          <w:lang w:eastAsia="zh-CN"/>
        </w:rPr>
        <w:t>项目安排</w:t>
      </w:r>
      <w:r>
        <w:rPr>
          <w:rStyle w:val="16"/>
          <w:rFonts w:hint="eastAsia" w:ascii="仿宋_GB2312" w:hAnsi="楷体" w:eastAsia="仿宋_GB2312"/>
          <w:b w:val="0"/>
          <w:spacing w:val="-4"/>
          <w:sz w:val="28"/>
          <w:szCs w:val="28"/>
          <w:highlight w:val="none"/>
          <w:lang w:val="en-US" w:eastAsia="zh-CN"/>
        </w:rPr>
        <w:t>273.87</w:t>
      </w:r>
      <w:r>
        <w:rPr>
          <w:rStyle w:val="16"/>
          <w:rFonts w:hint="eastAsia" w:ascii="仿宋_GB2312" w:hAnsi="楷体" w:eastAsia="仿宋_GB2312"/>
          <w:b w:val="0"/>
          <w:spacing w:val="-4"/>
          <w:sz w:val="28"/>
          <w:szCs w:val="28"/>
          <w:highlight w:val="none"/>
          <w:lang w:eastAsia="zh-CN"/>
        </w:rPr>
        <w:t>万元，</w:t>
      </w:r>
      <w:r>
        <w:rPr>
          <w:rStyle w:val="16"/>
          <w:rFonts w:hint="eastAsia" w:ascii="仿宋_GB2312" w:hAnsi="楷体" w:eastAsia="仿宋_GB2312"/>
          <w:b w:val="0"/>
          <w:spacing w:val="-4"/>
          <w:sz w:val="28"/>
          <w:szCs w:val="28"/>
          <w:highlight w:val="none"/>
        </w:rPr>
        <w:t>占总支出的</w:t>
      </w:r>
      <w:r>
        <w:rPr>
          <w:rStyle w:val="16"/>
          <w:rFonts w:hint="eastAsia" w:ascii="仿宋_GB2312" w:hAnsi="楷体" w:eastAsia="仿宋_GB2312"/>
          <w:b w:val="0"/>
          <w:spacing w:val="-4"/>
          <w:sz w:val="28"/>
          <w:szCs w:val="28"/>
          <w:highlight w:val="none"/>
          <w:lang w:val="en-US" w:eastAsia="zh-CN"/>
        </w:rPr>
        <w:t>44.78</w:t>
      </w:r>
      <w:r>
        <w:rPr>
          <w:rStyle w:val="16"/>
          <w:rFonts w:hint="eastAsia" w:ascii="仿宋_GB2312" w:hAnsi="楷体" w:eastAsia="仿宋_GB2312"/>
          <w:b w:val="0"/>
          <w:spacing w:val="-4"/>
          <w:sz w:val="28"/>
          <w:szCs w:val="28"/>
          <w:highlight w:val="none"/>
        </w:rPr>
        <w:t>％。其中：</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项目安排</w:t>
      </w:r>
      <w:r>
        <w:rPr>
          <w:rStyle w:val="16"/>
          <w:rFonts w:hint="eastAsia" w:ascii="仿宋_GB2312" w:hAnsi="楷体" w:eastAsia="仿宋_GB2312"/>
          <w:b w:val="0"/>
          <w:spacing w:val="-4"/>
          <w:sz w:val="28"/>
          <w:szCs w:val="28"/>
          <w:highlight w:val="none"/>
          <w:lang w:val="en-US" w:eastAsia="zh-CN"/>
        </w:rPr>
        <w:t>242.42</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val="en-US" w:eastAsia="zh-CN"/>
        </w:rPr>
        <w:t>基本药物补助30.05万元、全民体检资金1.4万元,</w:t>
      </w:r>
      <w:r>
        <w:rPr>
          <w:rStyle w:val="16"/>
          <w:rFonts w:hint="eastAsia" w:ascii="仿宋_GB2312" w:hAnsi="楷体" w:eastAsia="仿宋_GB2312"/>
          <w:b w:val="0"/>
          <w:spacing w:val="-4"/>
          <w:sz w:val="28"/>
          <w:szCs w:val="28"/>
          <w:highlight w:val="none"/>
          <w:lang w:eastAsia="zh-CN"/>
        </w:rPr>
        <w:t>主要用于完成</w:t>
      </w:r>
      <w:r>
        <w:rPr>
          <w:rStyle w:val="16"/>
          <w:rFonts w:hint="eastAsia" w:ascii="仿宋_GB2312" w:hAnsi="楷体" w:eastAsia="仿宋_GB2312"/>
          <w:b w:val="0"/>
          <w:spacing w:val="-4"/>
          <w:sz w:val="28"/>
          <w:szCs w:val="28"/>
          <w:highlight w:val="none"/>
          <w:lang w:val="en-US" w:eastAsia="zh-CN"/>
        </w:rPr>
        <w:t>基本公共卫生服务工作、基本药物补助、全民体检工作</w:t>
      </w:r>
      <w:r>
        <w:rPr>
          <w:rStyle w:val="16"/>
          <w:rFonts w:hint="eastAsia" w:ascii="仿宋_GB2312" w:hAnsi="楷体" w:eastAsia="仿宋_GB2312"/>
          <w:b w:val="0"/>
          <w:spacing w:val="-4"/>
          <w:sz w:val="28"/>
          <w:szCs w:val="28"/>
          <w:highlight w:val="none"/>
          <w:lang w:eastAsia="zh-CN"/>
        </w:rPr>
        <w:t>。</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lang w:eastAsia="zh-CN"/>
        </w:rPr>
        <w:t>）本年度重点项目支出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lang w:eastAsia="zh-CN"/>
        </w:rPr>
        <w:t xml:space="preserve"> 万元，重点支出保障率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lang w:eastAsia="zh-CN"/>
        </w:rPr>
        <w:t>%。</w:t>
      </w:r>
    </w:p>
    <w:p>
      <w:pPr>
        <w:spacing w:line="360" w:lineRule="auto"/>
        <w:ind w:firstLine="544" w:firstLineChars="200"/>
        <w:rPr>
          <w:rStyle w:val="16"/>
          <w:rFonts w:hint="eastAsia" w:ascii="仿宋_GB2312" w:hAnsi="楷体" w:eastAsia="仿宋_GB2312"/>
          <w:b w:val="0"/>
          <w:spacing w:val="-4"/>
          <w:sz w:val="32"/>
          <w:szCs w:val="32"/>
          <w:lang w:eastAsia="zh-CN"/>
        </w:rPr>
      </w:pP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w:t>
      </w:r>
      <w:r>
        <w:rPr>
          <w:rStyle w:val="16"/>
          <w:rFonts w:hint="eastAsia" w:ascii="仿宋_GB2312" w:hAnsi="楷体" w:eastAsia="仿宋_GB2312"/>
          <w:b w:val="0"/>
          <w:bCs w:val="0"/>
          <w:color w:val="auto"/>
          <w:spacing w:val="-4"/>
          <w:sz w:val="28"/>
          <w:szCs w:val="28"/>
        </w:rPr>
        <w:t>本年度我单位无政府采购预算</w:t>
      </w:r>
      <w:r>
        <w:rPr>
          <w:rStyle w:val="16"/>
          <w:rFonts w:hint="eastAsia" w:ascii="仿宋_GB2312" w:hAnsi="楷体" w:eastAsia="仿宋_GB2312"/>
          <w:b w:val="0"/>
          <w:bCs w:val="0"/>
          <w:color w:val="auto"/>
          <w:spacing w:val="-4"/>
          <w:sz w:val="28"/>
          <w:szCs w:val="28"/>
          <w:lang w:eastAsia="zh-CN"/>
        </w:rPr>
        <w:t>。</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Fonts w:hint="eastAsia" w:ascii="仿宋_GB2312" w:eastAsia="仿宋_GB2312"/>
          <w:sz w:val="28"/>
          <w:szCs w:val="36"/>
          <w:lang w:eastAsia="zh-CN"/>
        </w:rPr>
      </w:pPr>
      <w:r>
        <w:rPr>
          <w:rFonts w:hint="eastAsia" w:ascii="仿宋_GB2312" w:eastAsia="仿宋_GB2312"/>
          <w:sz w:val="28"/>
          <w:szCs w:val="36"/>
        </w:rPr>
        <w:t>本单位整体支出绩效自评采用综合指数评价法方法，原因是：强化医疗质量管理，完善质控体系，提高医疗服务能力和技术水平，健全患者投诉管理机制。加大医疗便民惠民措施的推广力度，改进服务模式，优化服务流程，方便群众就医。进一步规范门诊、病房的管理，使群众真正得到实惠</w:t>
      </w:r>
      <w:r>
        <w:rPr>
          <w:rFonts w:hint="eastAsia" w:ascii="仿宋_GB2312" w:eastAsia="仿宋_GB2312"/>
          <w:sz w:val="28"/>
          <w:szCs w:val="36"/>
          <w:lang w:eastAsia="zh-CN"/>
        </w:rPr>
        <w:t>。</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特克斯镇卫生院</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 xml:space="preserve">基本支出 </w:t>
      </w:r>
      <w:r>
        <w:rPr>
          <w:rStyle w:val="16"/>
          <w:rFonts w:hint="eastAsia" w:ascii="仿宋_GB2312" w:hAnsi="楷体" w:eastAsia="仿宋_GB2312"/>
          <w:b w:val="0"/>
          <w:spacing w:val="-4"/>
          <w:sz w:val="28"/>
          <w:szCs w:val="28"/>
          <w:lang w:val="en-US" w:eastAsia="zh-CN"/>
        </w:rPr>
        <w:t>337.7</w:t>
      </w:r>
      <w:r>
        <w:rPr>
          <w:rStyle w:val="16"/>
          <w:rFonts w:hint="eastAsia" w:ascii="仿宋_GB2312" w:hAnsi="楷体" w:eastAsia="仿宋_GB2312"/>
          <w:b w:val="0"/>
          <w:spacing w:val="-4"/>
          <w:sz w:val="28"/>
          <w:szCs w:val="28"/>
        </w:rPr>
        <w:t>万元，其中：工资福利支出、商品和服务支出、对个人和家庭的补助支出</w:t>
      </w:r>
      <w:r>
        <w:rPr>
          <w:rStyle w:val="16"/>
          <w:rFonts w:hint="eastAsia" w:ascii="仿宋_GB2312" w:hAnsi="楷体" w:eastAsia="仿宋_GB2312"/>
          <w:b w:val="0"/>
          <w:spacing w:val="-4"/>
          <w:sz w:val="28"/>
          <w:szCs w:val="28"/>
          <w:lang w:eastAsia="zh-CN"/>
        </w:rPr>
        <w:t>。</w:t>
      </w:r>
    </w:p>
    <w:p>
      <w:pPr>
        <w:numPr>
          <w:ilvl w:val="0"/>
          <w:numId w:val="0"/>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bookmarkStart w:id="10" w:name="_Toc70450297"/>
      <w:r>
        <w:rPr>
          <w:rStyle w:val="16"/>
          <w:rFonts w:ascii="仿宋_GB2312" w:hAnsi="楷体" w:eastAsia="仿宋_GB2312"/>
          <w:b w:val="0"/>
          <w:spacing w:val="-4"/>
          <w:sz w:val="28"/>
          <w:szCs w:val="28"/>
          <w:highlight w:val="none"/>
        </w:rPr>
        <w:fldChar w:fldCharType="begin"/>
      </w:r>
      <w:r>
        <w:rPr>
          <w:rStyle w:val="16"/>
          <w:rFonts w:ascii="仿宋_GB2312" w:hAnsi="楷体" w:eastAsia="仿宋_GB2312"/>
          <w:b w:val="0"/>
          <w:spacing w:val="-4"/>
          <w:sz w:val="28"/>
          <w:szCs w:val="28"/>
          <w:highlight w:val="none"/>
        </w:rPr>
        <w:instrText xml:space="preserve"> </w:instrText>
      </w:r>
      <w:r>
        <w:rPr>
          <w:rStyle w:val="16"/>
          <w:rFonts w:hint="eastAsia" w:ascii="仿宋_GB2312" w:hAnsi="楷体" w:eastAsia="仿宋_GB2312"/>
          <w:b w:val="0"/>
          <w:spacing w:val="-4"/>
          <w:sz w:val="28"/>
          <w:szCs w:val="28"/>
          <w:highlight w:val="none"/>
        </w:rPr>
        <w:instrText xml:space="preserve">= 2 \* GB3</w:instrText>
      </w:r>
      <w:r>
        <w:rPr>
          <w:rStyle w:val="16"/>
          <w:rFonts w:ascii="仿宋_GB2312" w:hAnsi="楷体" w:eastAsia="仿宋_GB2312"/>
          <w:b w:val="0"/>
          <w:spacing w:val="-4"/>
          <w:sz w:val="28"/>
          <w:szCs w:val="28"/>
          <w:highlight w:val="none"/>
        </w:rPr>
        <w:instrText xml:space="preserve"> </w:instrText>
      </w:r>
      <w:r>
        <w:rPr>
          <w:rStyle w:val="16"/>
          <w:rFonts w:ascii="仿宋_GB2312" w:hAnsi="楷体" w:eastAsia="仿宋_GB2312"/>
          <w:b w:val="0"/>
          <w:spacing w:val="-4"/>
          <w:sz w:val="28"/>
          <w:szCs w:val="28"/>
          <w:highlight w:val="none"/>
        </w:rPr>
        <w:fldChar w:fldCharType="separate"/>
      </w:r>
      <w:r>
        <w:rPr>
          <w:rStyle w:val="16"/>
          <w:rFonts w:hint="eastAsia" w:ascii="仿宋_GB2312" w:hAnsi="楷体" w:eastAsia="仿宋_GB2312"/>
          <w:b w:val="0"/>
          <w:spacing w:val="-4"/>
          <w:sz w:val="28"/>
          <w:szCs w:val="28"/>
          <w:highlight w:val="none"/>
        </w:rPr>
        <w:t>②</w:t>
      </w:r>
      <w:r>
        <w:rPr>
          <w:rStyle w:val="16"/>
          <w:rFonts w:ascii="仿宋_GB2312" w:hAnsi="楷体" w:eastAsia="仿宋_GB2312"/>
          <w:b w:val="0"/>
          <w:spacing w:val="-4"/>
          <w:sz w:val="28"/>
          <w:szCs w:val="28"/>
          <w:highlight w:val="none"/>
        </w:rPr>
        <w:fldChar w:fldCharType="end"/>
      </w: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273.87</w:t>
      </w:r>
      <w:r>
        <w:rPr>
          <w:rStyle w:val="16"/>
          <w:rFonts w:hint="eastAsia" w:ascii="仿宋_GB2312" w:hAnsi="楷体" w:eastAsia="仿宋_GB2312"/>
          <w:b w:val="0"/>
          <w:spacing w:val="-4"/>
          <w:sz w:val="28"/>
          <w:szCs w:val="28"/>
          <w:highlight w:val="none"/>
        </w:rPr>
        <w:t>万元，其中：</w:t>
      </w:r>
      <w:r>
        <w:rPr>
          <w:rStyle w:val="16"/>
          <w:rFonts w:hint="eastAsia" w:ascii="仿宋_GB2312" w:hAnsi="楷体" w:eastAsia="仿宋_GB2312"/>
          <w:b w:val="0"/>
          <w:spacing w:val="-4"/>
          <w:sz w:val="28"/>
          <w:szCs w:val="28"/>
          <w:highlight w:val="none"/>
          <w:lang w:val="en-US" w:eastAsia="zh-CN"/>
        </w:rPr>
        <w:t>公共卫生</w:t>
      </w:r>
      <w:r>
        <w:rPr>
          <w:rStyle w:val="16"/>
          <w:rFonts w:hint="eastAsia" w:ascii="仿宋_GB2312" w:hAnsi="楷体" w:eastAsia="仿宋_GB2312"/>
          <w:b w:val="0"/>
          <w:spacing w:val="-4"/>
          <w:sz w:val="28"/>
          <w:szCs w:val="28"/>
          <w:highlight w:val="none"/>
        </w:rPr>
        <w:t>项目，</w:t>
      </w:r>
      <w:r>
        <w:rPr>
          <w:rStyle w:val="16"/>
          <w:rFonts w:hint="eastAsia" w:ascii="仿宋_GB2312" w:hAnsi="楷体" w:eastAsia="仿宋_GB2312"/>
          <w:b w:val="0"/>
          <w:spacing w:val="-4"/>
          <w:sz w:val="28"/>
          <w:szCs w:val="28"/>
          <w:highlight w:val="none"/>
          <w:lang w:val="en-US" w:eastAsia="zh-CN"/>
        </w:rPr>
        <w:t>基本药物补助、全民体检资金。</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hint="eastAsia" w:eastAsia="仿宋_GB2312" w:asciiTheme="minorEastAsia" w:hAnsiTheme="minorEastAsia"/>
          <w:color w:val="FF0000"/>
          <w:spacing w:val="-4"/>
          <w:sz w:val="28"/>
          <w:szCs w:val="28"/>
          <w:lang w:eastAsia="zh-CN"/>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eastAsia="zh-CN"/>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特克斯县财政局</w:t>
      </w:r>
      <w:r>
        <w:rPr>
          <w:rFonts w:hint="eastAsia" w:ascii="仿宋_GB2312" w:eastAsia="仿宋_GB2312"/>
          <w:sz w:val="28"/>
          <w:szCs w:val="36"/>
        </w:rPr>
        <w:t>要求，部门预算及绩效目标在</w:t>
      </w:r>
      <w:r>
        <w:rPr>
          <w:rFonts w:hint="eastAsia" w:ascii="仿宋_GB2312" w:eastAsia="仿宋_GB2312"/>
          <w:sz w:val="28"/>
          <w:szCs w:val="36"/>
          <w:lang w:eastAsia="zh-CN"/>
        </w:rPr>
        <w:t>政府信息</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eastAsia="zh-CN"/>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Fonts w:hint="eastAsia" w:ascii="仿宋_GB2312" w:eastAsia="仿宋_GB2312"/>
          <w:sz w:val="28"/>
          <w:szCs w:val="36"/>
          <w:lang w:eastAsia="zh-CN"/>
        </w:rPr>
        <w:t>特克斯县财政局</w:t>
      </w:r>
      <w:r>
        <w:rPr>
          <w:rFonts w:hint="eastAsia" w:ascii="仿宋_GB2312" w:eastAsia="仿宋_GB2312"/>
          <w:sz w:val="28"/>
          <w:szCs w:val="36"/>
        </w:rPr>
        <w:t>相关规定和</w:t>
      </w:r>
      <w:r>
        <w:rPr>
          <w:rFonts w:hint="eastAsia" w:ascii="仿宋_GB2312" w:eastAsia="仿宋_GB2312"/>
          <w:sz w:val="28"/>
          <w:szCs w:val="36"/>
          <w:lang w:eastAsia="zh-CN"/>
        </w:rPr>
        <w:t>特克斯县特克斯镇卫生院《事业单位财务规则》</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eastAsia="zh-CN"/>
        </w:rPr>
        <w:t>我单位</w:t>
      </w:r>
      <w:r>
        <w:rPr>
          <w:rFonts w:hint="eastAsia" w:ascii="仿宋_GB2312" w:eastAsia="仿宋_GB2312"/>
          <w:sz w:val="28"/>
          <w:szCs w:val="36"/>
        </w:rPr>
        <w:t>《</w:t>
      </w:r>
      <w:r>
        <w:rPr>
          <w:rFonts w:hint="eastAsia" w:ascii="仿宋_GB2312" w:eastAsia="仿宋_GB2312"/>
          <w:sz w:val="28"/>
          <w:szCs w:val="36"/>
          <w:lang w:eastAsia="zh-CN"/>
        </w:rPr>
        <w:t>政府</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337.7</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万元，实际到位</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337.7</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万元,实际支出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337.7</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55.22</w:t>
      </w:r>
      <w:r>
        <w:rPr>
          <w:rStyle w:val="16"/>
          <w:rFonts w:hint="eastAsia" w:ascii="仿宋_GB2312" w:hAnsi="楷体" w:eastAsia="仿宋_GB2312"/>
          <w:b w:val="0"/>
          <w:spacing w:val="-4"/>
          <w:sz w:val="28"/>
          <w:szCs w:val="28"/>
        </w:rPr>
        <w:t>％，其中：工资福利支出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326.64</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万元、商品和服务支出</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3.08</w:t>
      </w:r>
      <w:r>
        <w:rPr>
          <w:rStyle w:val="16"/>
          <w:rFonts w:hint="eastAsia" w:ascii="仿宋_GB2312" w:hAnsi="楷体" w:eastAsia="仿宋_GB2312"/>
          <w:b w:val="0"/>
          <w:spacing w:val="-4"/>
          <w:sz w:val="28"/>
          <w:szCs w:val="28"/>
        </w:rPr>
        <w:t>万元、对个人和家庭的补助</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7.98</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highlight w:val="none"/>
        </w:rPr>
        <w:t>主要用于</w:t>
      </w:r>
      <w:r>
        <w:rPr>
          <w:rStyle w:val="16"/>
          <w:rFonts w:hint="eastAsia" w:ascii="仿宋_GB2312" w:hAnsi="楷体" w:eastAsia="仿宋_GB2312"/>
          <w:b w:val="0"/>
          <w:color w:val="auto"/>
          <w:spacing w:val="-4"/>
          <w:sz w:val="28"/>
          <w:szCs w:val="28"/>
          <w:highlight w:val="none"/>
          <w:lang w:val="en-US" w:eastAsia="zh-CN"/>
        </w:rPr>
        <w:t>退休人员经费</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。资本性支出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379.33</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万元,减少</w:t>
      </w:r>
      <w:r>
        <w:rPr>
          <w:rStyle w:val="16"/>
          <w:rFonts w:hint="eastAsia" w:ascii="仿宋_GB2312" w:hAnsi="楷体" w:eastAsia="仿宋_GB2312"/>
          <w:b w:val="0"/>
          <w:spacing w:val="-4"/>
          <w:sz w:val="28"/>
          <w:szCs w:val="28"/>
          <w:lang w:val="en-US" w:eastAsia="zh-CN"/>
        </w:rPr>
        <w:t>41.63</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万元，下降</w:t>
      </w:r>
      <w:r>
        <w:rPr>
          <w:rStyle w:val="16"/>
          <w:rFonts w:ascii="仿宋_GB2312" w:hAnsi="楷体" w:eastAsia="仿宋_GB2312"/>
          <w:b w:val="0"/>
          <w:spacing w:val="-4"/>
          <w:sz w:val="28"/>
          <w:szCs w:val="28"/>
        </w:rPr>
        <w:t xml:space="preserve"> </w:t>
      </w:r>
      <w:r>
        <w:rPr>
          <w:rStyle w:val="16"/>
          <w:rFonts w:hint="eastAsia" w:ascii="仿宋_GB2312" w:hAnsi="宋体" w:eastAsia="仿宋_GB2312"/>
          <w:b w:val="0"/>
          <w:bCs w:val="0"/>
          <w:spacing w:val="-4"/>
          <w:sz w:val="28"/>
          <w:szCs w:val="28"/>
          <w:lang w:val="en-US" w:eastAsia="zh-CN"/>
        </w:rPr>
        <w:t>10.97</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，减少的主要原因是</w:t>
      </w:r>
      <w:r>
        <w:rPr>
          <w:rStyle w:val="16"/>
          <w:rFonts w:hint="eastAsia" w:ascii="仿宋_GB2312" w:hAnsi="楷体" w:eastAsia="仿宋_GB2312"/>
          <w:b w:val="0"/>
          <w:spacing w:val="-4"/>
          <w:sz w:val="28"/>
          <w:szCs w:val="28"/>
          <w:lang w:eastAsia="zh-CN"/>
        </w:rPr>
        <w:t>人员减少</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万元，公务用车运行费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万元，主要原因是 </w:t>
      </w:r>
      <w:r>
        <w:rPr>
          <w:rStyle w:val="16"/>
          <w:rFonts w:hint="eastAsia" w:ascii="仿宋_GB2312" w:hAnsi="楷体" w:eastAsia="仿宋_GB2312"/>
          <w:b w:val="0"/>
          <w:spacing w:val="-4"/>
          <w:sz w:val="28"/>
          <w:szCs w:val="28"/>
          <w:lang w:eastAsia="zh-CN"/>
        </w:rPr>
        <w:t>本年度为安排预算</w:t>
      </w:r>
      <w:r>
        <w:rPr>
          <w:rStyle w:val="16"/>
          <w:rFonts w:hint="eastAsia" w:ascii="仿宋_GB2312" w:hAnsi="楷体" w:eastAsia="仿宋_GB2312"/>
          <w:b w:val="0"/>
          <w:spacing w:val="-4"/>
          <w:sz w:val="28"/>
          <w:szCs w:val="28"/>
        </w:rPr>
        <w:t xml:space="preserve"> ；公务用车购置费为0，未安排预算。；公务用车运行费增加</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本年度</w:t>
      </w:r>
      <w:r>
        <w:rPr>
          <w:rStyle w:val="16"/>
          <w:rFonts w:hint="eastAsia" w:ascii="仿宋_GB2312" w:hAnsi="楷体" w:eastAsia="仿宋_GB2312"/>
          <w:b w:val="0"/>
          <w:spacing w:val="-4"/>
          <w:sz w:val="28"/>
          <w:szCs w:val="28"/>
        </w:rPr>
        <w:t>未安排预算；公务接待费增加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 xml:space="preserve">2021年预算安排专项资金 </w:t>
      </w:r>
      <w:r>
        <w:rPr>
          <w:rStyle w:val="16"/>
          <w:rFonts w:hint="eastAsia" w:ascii="仿宋_GB2312" w:hAnsi="楷体" w:eastAsia="仿宋_GB2312"/>
          <w:b w:val="0"/>
          <w:spacing w:val="-4"/>
          <w:sz w:val="28"/>
          <w:szCs w:val="28"/>
          <w:lang w:val="en-US" w:eastAsia="zh-CN"/>
        </w:rPr>
        <w:t>273.87</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273.87</w:t>
      </w:r>
      <w:r>
        <w:rPr>
          <w:rStyle w:val="16"/>
          <w:rFonts w:hint="eastAsia" w:ascii="仿宋_GB2312" w:hAnsi="楷体" w:eastAsia="仿宋_GB2312"/>
          <w:b w:val="0"/>
          <w:spacing w:val="-4"/>
          <w:sz w:val="28"/>
          <w:szCs w:val="28"/>
        </w:rPr>
        <w:t>万元, 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 xml:space="preserve">％,其中:中央转移支付项目资金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 万元，自治区资金</w:t>
      </w:r>
      <w:r>
        <w:rPr>
          <w:rStyle w:val="16"/>
          <w:rFonts w:hint="eastAsia" w:ascii="仿宋_GB2312" w:hAnsi="楷体" w:eastAsia="仿宋_GB2312"/>
          <w:b w:val="0"/>
          <w:spacing w:val="-4"/>
          <w:sz w:val="28"/>
          <w:szCs w:val="28"/>
          <w:lang w:val="en-US" w:eastAsia="zh-CN"/>
        </w:rPr>
        <w:t>244.96</w:t>
      </w:r>
      <w:r>
        <w:rPr>
          <w:rStyle w:val="16"/>
          <w:rFonts w:hint="eastAsia" w:ascii="仿宋_GB2312" w:hAnsi="楷体" w:eastAsia="仿宋_GB2312"/>
          <w:b w:val="0"/>
          <w:spacing w:val="-4"/>
          <w:sz w:val="28"/>
          <w:szCs w:val="28"/>
        </w:rPr>
        <w:t xml:space="preserve">万元，本级安排 </w:t>
      </w:r>
      <w:r>
        <w:rPr>
          <w:rStyle w:val="16"/>
          <w:rFonts w:hint="eastAsia" w:ascii="仿宋_GB2312" w:hAnsi="楷体" w:eastAsia="仿宋_GB2312"/>
          <w:b w:val="0"/>
          <w:spacing w:val="-4"/>
          <w:sz w:val="28"/>
          <w:szCs w:val="28"/>
          <w:lang w:val="en-US" w:eastAsia="zh-CN"/>
        </w:rPr>
        <w:t>28.91</w:t>
      </w:r>
      <w:r>
        <w:rPr>
          <w:rStyle w:val="16"/>
          <w:rFonts w:hint="eastAsia" w:ascii="仿宋_GB2312" w:hAnsi="楷体" w:eastAsia="仿宋_GB2312"/>
          <w:b w:val="0"/>
          <w:spacing w:val="-4"/>
          <w:sz w:val="28"/>
          <w:szCs w:val="28"/>
        </w:rPr>
        <w:t>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highlight w:val="none"/>
        </w:rPr>
        <w:t>2021年专项资金支出</w:t>
      </w:r>
      <w:r>
        <w:rPr>
          <w:rStyle w:val="16"/>
          <w:rFonts w:hint="eastAsia" w:ascii="仿宋_GB2312" w:hAnsi="楷体" w:eastAsia="仿宋_GB2312"/>
          <w:b w:val="0"/>
          <w:spacing w:val="-4"/>
          <w:sz w:val="28"/>
          <w:szCs w:val="28"/>
          <w:highlight w:val="none"/>
          <w:lang w:val="en-US" w:eastAsia="zh-CN"/>
        </w:rPr>
        <w:t>273.87</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44.78</w:t>
      </w:r>
      <w:r>
        <w:rPr>
          <w:rStyle w:val="16"/>
          <w:rFonts w:hint="eastAsia" w:ascii="仿宋_GB2312" w:hAnsi="楷体" w:eastAsia="仿宋_GB2312"/>
          <w:b w:val="0"/>
          <w:spacing w:val="-4"/>
          <w:sz w:val="28"/>
          <w:szCs w:val="28"/>
          <w:highlight w:val="none"/>
        </w:rPr>
        <w:t>%，其中2021年专项项目支出比上年</w:t>
      </w:r>
      <w:r>
        <w:rPr>
          <w:rStyle w:val="16"/>
          <w:rFonts w:hint="eastAsia" w:ascii="仿宋_GB2312" w:hAnsi="楷体" w:eastAsia="仿宋_GB2312"/>
          <w:b w:val="0"/>
          <w:spacing w:val="-4"/>
          <w:sz w:val="28"/>
          <w:szCs w:val="28"/>
          <w:highlight w:val="none"/>
          <w:lang w:val="en-US" w:eastAsia="zh-CN"/>
        </w:rPr>
        <w:t>43.93</w:t>
      </w:r>
      <w:r>
        <w:rPr>
          <w:rStyle w:val="16"/>
          <w:rFonts w:hint="eastAsia" w:ascii="仿宋_GB2312" w:hAnsi="楷体" w:eastAsia="仿宋_GB2312"/>
          <w:b w:val="0"/>
          <w:spacing w:val="-4"/>
          <w:sz w:val="28"/>
          <w:szCs w:val="28"/>
          <w:highlight w:val="none"/>
        </w:rPr>
        <w:t>万元增加</w:t>
      </w:r>
      <w:r>
        <w:rPr>
          <w:rStyle w:val="16"/>
          <w:rFonts w:hint="eastAsia" w:ascii="仿宋_GB2312" w:hAnsi="楷体" w:eastAsia="仿宋_GB2312"/>
          <w:b w:val="0"/>
          <w:spacing w:val="-4"/>
          <w:sz w:val="28"/>
          <w:szCs w:val="28"/>
          <w:highlight w:val="none"/>
          <w:lang w:val="en-US" w:eastAsia="zh-CN"/>
        </w:rPr>
        <w:t>273.87</w:t>
      </w:r>
      <w:r>
        <w:rPr>
          <w:rStyle w:val="16"/>
          <w:rFonts w:hint="eastAsia" w:ascii="仿宋_GB2312" w:hAnsi="楷体" w:eastAsia="仿宋_GB2312"/>
          <w:b w:val="0"/>
          <w:spacing w:val="-4"/>
          <w:sz w:val="28"/>
          <w:szCs w:val="28"/>
          <w:highlight w:val="none"/>
        </w:rPr>
        <w:t>万元，上升</w:t>
      </w:r>
      <w:r>
        <w:rPr>
          <w:rStyle w:val="16"/>
          <w:rFonts w:hint="eastAsia" w:ascii="仿宋_GB2312" w:hAnsi="楷体" w:eastAsia="仿宋_GB2312"/>
          <w:b w:val="0"/>
          <w:spacing w:val="-4"/>
          <w:sz w:val="28"/>
          <w:szCs w:val="28"/>
          <w:highlight w:val="none"/>
          <w:lang w:val="en-US" w:eastAsia="zh-CN"/>
        </w:rPr>
        <w:t>523.42</w:t>
      </w:r>
      <w:r>
        <w:rPr>
          <w:rStyle w:val="16"/>
          <w:rFonts w:hint="eastAsia" w:ascii="仿宋_GB2312" w:hAnsi="楷体" w:eastAsia="仿宋_GB2312"/>
          <w:b w:val="0"/>
          <w:spacing w:val="-4"/>
          <w:sz w:val="28"/>
          <w:szCs w:val="28"/>
          <w:highlight w:val="none"/>
        </w:rPr>
        <w:t>%。</w:t>
      </w:r>
      <w:r>
        <w:rPr>
          <w:rStyle w:val="16"/>
          <w:rFonts w:hint="eastAsia" w:ascii="仿宋_GB2312" w:hAnsi="楷体" w:eastAsia="仿宋_GB2312"/>
          <w:b w:val="0"/>
          <w:spacing w:val="-4"/>
          <w:sz w:val="28"/>
          <w:szCs w:val="28"/>
        </w:rPr>
        <w:t>支出上升的主要原因是</w:t>
      </w:r>
      <w:r>
        <w:rPr>
          <w:rStyle w:val="16"/>
          <w:rFonts w:hint="eastAsia" w:ascii="仿宋_GB2312" w:hAnsi="楷体" w:eastAsia="仿宋_GB2312"/>
          <w:b w:val="0"/>
          <w:spacing w:val="-4"/>
          <w:sz w:val="28"/>
          <w:szCs w:val="28"/>
          <w:highlight w:val="none"/>
          <w:lang w:val="en-US" w:eastAsia="zh-CN"/>
        </w:rPr>
        <w:t>:上年度项目由主管单位负责</w:t>
      </w:r>
      <w:r>
        <w:rPr>
          <w:rStyle w:val="16"/>
          <w:rFonts w:hint="eastAsia" w:ascii="仿宋_GB2312" w:hAnsi="楷体" w:eastAsia="仿宋_GB2312"/>
          <w:b w:val="0"/>
          <w:spacing w:val="-4"/>
          <w:sz w:val="28"/>
          <w:szCs w:val="28"/>
          <w:highlight w:val="none"/>
          <w:lang w:eastAsia="zh-CN"/>
        </w:rPr>
        <w:t>。</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w:t>
      </w:r>
      <w:r>
        <w:rPr>
          <w:rStyle w:val="16"/>
          <w:rFonts w:hint="eastAsia" w:ascii="仿宋_GB2312" w:hAnsi="楷体" w:eastAsia="仿宋_GB2312"/>
          <w:b w:val="0"/>
          <w:spacing w:val="-4"/>
          <w:sz w:val="28"/>
          <w:szCs w:val="28"/>
          <w:lang w:eastAsia="zh-CN"/>
        </w:rPr>
        <w:t>单位</w:t>
      </w:r>
      <w:r>
        <w:rPr>
          <w:rStyle w:val="16"/>
          <w:rFonts w:hint="eastAsia" w:ascii="仿宋_GB2312" w:hAnsi="楷体" w:eastAsia="仿宋_GB2312"/>
          <w:b w:val="0"/>
          <w:spacing w:val="-4"/>
          <w:sz w:val="28"/>
          <w:szCs w:val="28"/>
        </w:rPr>
        <w:t>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Fonts w:hint="eastAsia" w:ascii="仿宋_GB2312" w:eastAsia="仿宋_GB2312"/>
          <w:sz w:val="28"/>
          <w:szCs w:val="36"/>
          <w:lang w:eastAsia="zh-CN"/>
        </w:rPr>
        <w:t>特克斯镇卫生院</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w:t>
      </w:r>
      <w:r>
        <w:rPr>
          <w:rFonts w:hint="eastAsia" w:ascii="仿宋_GB2312" w:eastAsia="仿宋_GB2312"/>
          <w:sz w:val="28"/>
          <w:szCs w:val="36"/>
          <w:lang w:eastAsia="zh-CN"/>
        </w:rPr>
        <w:t>特克斯镇卫生院</w:t>
      </w:r>
      <w:r>
        <w:rPr>
          <w:rStyle w:val="16"/>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w:t>
      </w:r>
      <w:r>
        <w:rPr>
          <w:rFonts w:hint="eastAsia" w:ascii="仿宋_GB2312" w:eastAsia="仿宋_GB2312"/>
          <w:sz w:val="28"/>
          <w:szCs w:val="36"/>
          <w:lang w:eastAsia="zh-CN"/>
        </w:rPr>
        <w:t>特克斯镇卫生院</w:t>
      </w:r>
      <w:r>
        <w:rPr>
          <w:rStyle w:val="16"/>
          <w:rFonts w:hint="eastAsia" w:ascii="仿宋_GB2312" w:hAnsi="楷体" w:eastAsia="仿宋_GB2312"/>
          <w:b w:val="0"/>
          <w:spacing w:val="-4"/>
          <w:sz w:val="28"/>
          <w:szCs w:val="28"/>
        </w:rPr>
        <w:t>项目实施方案，确保项目</w:t>
      </w:r>
      <w:r>
        <w:rPr>
          <w:rStyle w:val="16"/>
          <w:rFonts w:hint="eastAsia" w:ascii="仿宋_GB2312" w:hAnsi="楷体" w:eastAsia="仿宋_GB2312"/>
          <w:b w:val="0"/>
          <w:spacing w:val="-4"/>
          <w:sz w:val="28"/>
          <w:szCs w:val="28"/>
          <w:lang w:val="en-US" w:eastAsia="zh-CN"/>
        </w:rPr>
        <w:t>顺利进行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w:t>
      </w:r>
      <w:r>
        <w:rPr>
          <w:rFonts w:hint="eastAsia" w:ascii="仿宋_GB2312" w:eastAsia="仿宋_GB2312"/>
          <w:sz w:val="28"/>
          <w:szCs w:val="36"/>
          <w:lang w:eastAsia="zh-CN"/>
        </w:rPr>
        <w:t>特克斯镇卫生院</w:t>
      </w:r>
      <w:r>
        <w:rPr>
          <w:rStyle w:val="16"/>
          <w:rFonts w:hint="eastAsia" w:ascii="仿宋_GB2312" w:hAnsi="楷体" w:eastAsia="仿宋_GB2312"/>
          <w:b w:val="0"/>
          <w:spacing w:val="-4"/>
          <w:sz w:val="28"/>
          <w:szCs w:val="28"/>
        </w:rPr>
        <w:t>项目验收，确保</w:t>
      </w:r>
      <w:r>
        <w:rPr>
          <w:rStyle w:val="16"/>
          <w:rFonts w:hint="eastAsia" w:ascii="仿宋_GB2312" w:hAnsi="楷体" w:eastAsia="仿宋_GB2312"/>
          <w:b w:val="0"/>
          <w:spacing w:val="-4"/>
          <w:sz w:val="28"/>
          <w:szCs w:val="28"/>
          <w:lang w:val="en-US" w:eastAsia="zh-CN"/>
        </w:rPr>
        <w:t>项目顺利进行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5"/>
        <w:numPr>
          <w:ilvl w:val="0"/>
          <w:numId w:val="1"/>
        </w:numPr>
        <w:spacing w:line="360" w:lineRule="auto"/>
        <w:rPr>
          <w:rStyle w:val="16"/>
          <w:rFonts w:ascii="仿宋" w:hAnsi="仿宋" w:eastAsia="仿宋"/>
          <w:b/>
          <w:bCs/>
        </w:rPr>
      </w:pPr>
      <w:bookmarkStart w:id="20" w:name="_Toc70450308"/>
      <w:r>
        <w:rPr>
          <w:rStyle w:val="16"/>
          <w:rFonts w:hint="eastAsia" w:ascii="仿宋" w:hAnsi="仿宋" w:eastAsia="仿宋"/>
          <w:b/>
          <w:bCs/>
        </w:rPr>
        <w:t>专项组织情况分析</w:t>
      </w:r>
      <w:bookmarkEnd w:id="20"/>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1、前期准备</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年初我单位下发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6"/>
          <w:rFonts w:ascii="仿宋_GB2312" w:hAnsi="楷体" w:eastAsia="仿宋_GB2312"/>
          <w:b w:val="0"/>
          <w:bCs w:val="0"/>
          <w:color w:val="auto"/>
          <w:spacing w:val="-4"/>
          <w:sz w:val="28"/>
          <w:szCs w:val="28"/>
        </w:rPr>
        <w:t>1</w:t>
      </w:r>
      <w:r>
        <w:rPr>
          <w:rStyle w:val="16"/>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2、组织实施</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宋体" w:hAnsi="宋体" w:eastAsia="宋体"/>
          <w:color w:val="FF0000"/>
          <w:spacing w:val="-4"/>
          <w:sz w:val="28"/>
          <w:szCs w:val="28"/>
        </w:rPr>
      </w:pPr>
      <w:r>
        <w:rPr>
          <w:rStyle w:val="16"/>
          <w:rFonts w:hint="eastAsia" w:ascii="仿宋_GB2312" w:hAnsi="楷体" w:eastAsia="仿宋_GB2312"/>
          <w:b w:val="0"/>
          <w:bCs w:val="0"/>
          <w:spacing w:val="-4"/>
          <w:sz w:val="28"/>
          <w:szCs w:val="28"/>
        </w:rPr>
        <w:t>截止12月</w:t>
      </w:r>
      <w:r>
        <w:rPr>
          <w:rStyle w:val="16"/>
          <w:rFonts w:hint="eastAsia" w:ascii="仿宋_GB2312" w:hAnsi="楷体" w:eastAsia="仿宋_GB2312"/>
          <w:b w:val="0"/>
          <w:bCs w:val="0"/>
          <w:spacing w:val="-4"/>
          <w:sz w:val="28"/>
          <w:szCs w:val="28"/>
          <w:lang w:val="en-US" w:eastAsia="zh-CN"/>
        </w:rPr>
        <w:t>31</w:t>
      </w:r>
      <w:r>
        <w:rPr>
          <w:rStyle w:val="16"/>
          <w:rFonts w:hint="eastAsia" w:ascii="仿宋_GB2312" w:hAnsi="楷体" w:eastAsia="仿宋_GB2312"/>
          <w:b w:val="0"/>
          <w:bCs w:val="0"/>
          <w:spacing w:val="-4"/>
          <w:sz w:val="28"/>
          <w:szCs w:val="28"/>
        </w:rPr>
        <w:t>日，该专项均按照时间计划保质、保量完成。</w:t>
      </w:r>
    </w:p>
    <w:p>
      <w:pPr>
        <w:pStyle w:val="5"/>
        <w:numPr>
          <w:ilvl w:val="0"/>
          <w:numId w:val="1"/>
        </w:numPr>
        <w:spacing w:line="360" w:lineRule="auto"/>
        <w:rPr>
          <w:rStyle w:val="16"/>
          <w:rFonts w:ascii="仿宋" w:hAnsi="仿宋" w:eastAsia="仿宋"/>
          <w:b/>
          <w:bCs/>
        </w:rPr>
      </w:pPr>
      <w:bookmarkStart w:id="21" w:name="_Toc70450309"/>
      <w:r>
        <w:rPr>
          <w:rStyle w:val="16"/>
          <w:rFonts w:hint="eastAsia" w:ascii="仿宋" w:hAnsi="仿宋" w:eastAsia="仿宋"/>
          <w:b/>
          <w:bCs/>
        </w:rPr>
        <w:t>专项管理情况分析</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1、资金到位及使用情况</w:t>
      </w:r>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021</w:t>
      </w:r>
      <w:r>
        <w:rPr>
          <w:rStyle w:val="16"/>
          <w:rFonts w:hint="eastAsia" w:ascii="仿宋_GB2312" w:hAnsi="楷体" w:eastAsia="仿宋_GB2312"/>
          <w:b w:val="0"/>
          <w:spacing w:val="-4"/>
          <w:sz w:val="28"/>
          <w:szCs w:val="28"/>
        </w:rPr>
        <w:t>年涉及专项资金</w:t>
      </w:r>
      <w:r>
        <w:rPr>
          <w:rStyle w:val="16"/>
          <w:rFonts w:hint="eastAsia" w:ascii="仿宋_GB2312" w:hAnsi="楷体" w:eastAsia="仿宋_GB2312"/>
          <w:b w:val="0"/>
          <w:spacing w:val="-4"/>
          <w:sz w:val="28"/>
          <w:szCs w:val="28"/>
          <w:lang w:val="en-US" w:eastAsia="zh-CN"/>
        </w:rPr>
        <w:t>273.87</w:t>
      </w:r>
      <w:r>
        <w:rPr>
          <w:rStyle w:val="16"/>
          <w:rFonts w:hint="eastAsia" w:ascii="仿宋_GB2312" w:hAnsi="楷体" w:eastAsia="仿宋_GB2312"/>
          <w:b w:val="0"/>
          <w:spacing w:val="-4"/>
          <w:sz w:val="28"/>
          <w:szCs w:val="28"/>
        </w:rPr>
        <w:t xml:space="preserve">万元，实际到位 </w:t>
      </w:r>
      <w:r>
        <w:rPr>
          <w:rStyle w:val="16"/>
          <w:rFonts w:hint="eastAsia" w:ascii="仿宋_GB2312" w:hAnsi="楷体" w:eastAsia="仿宋_GB2312"/>
          <w:b w:val="0"/>
          <w:spacing w:val="-4"/>
          <w:sz w:val="28"/>
          <w:szCs w:val="28"/>
          <w:lang w:val="en-US" w:eastAsia="zh-CN"/>
        </w:rPr>
        <w:t>273.87</w:t>
      </w:r>
      <w:r>
        <w:rPr>
          <w:rStyle w:val="16"/>
          <w:rFonts w:hint="eastAsia" w:ascii="仿宋_GB2312" w:hAnsi="楷体" w:eastAsia="仿宋_GB2312"/>
          <w:b w:val="0"/>
          <w:spacing w:val="-4"/>
          <w:sz w:val="28"/>
          <w:szCs w:val="28"/>
        </w:rPr>
        <w:t>万元，资金到位率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%。截止到</w:t>
      </w: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年1</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月</w:t>
      </w:r>
      <w:r>
        <w:rPr>
          <w:rStyle w:val="16"/>
          <w:rFonts w:hint="eastAsia" w:ascii="仿宋_GB2312" w:hAnsi="楷体" w:eastAsia="仿宋_GB2312"/>
          <w:b w:val="0"/>
          <w:spacing w:val="-4"/>
          <w:sz w:val="28"/>
          <w:szCs w:val="28"/>
          <w:lang w:val="en-US" w:eastAsia="zh-CN"/>
        </w:rPr>
        <w:t>31</w:t>
      </w:r>
      <w:r>
        <w:rPr>
          <w:rStyle w:val="16"/>
          <w:rFonts w:hint="eastAsia" w:ascii="仿宋_GB2312" w:hAnsi="楷体" w:eastAsia="仿宋_GB2312"/>
          <w:b w:val="0"/>
          <w:spacing w:val="-4"/>
          <w:sz w:val="28"/>
          <w:szCs w:val="28"/>
        </w:rPr>
        <w:t>日执行</w:t>
      </w:r>
      <w:r>
        <w:rPr>
          <w:rStyle w:val="16"/>
          <w:rFonts w:hint="eastAsia" w:ascii="仿宋_GB2312" w:hAnsi="楷体" w:eastAsia="仿宋_GB2312"/>
          <w:b w:val="0"/>
          <w:spacing w:val="-4"/>
          <w:sz w:val="28"/>
          <w:szCs w:val="28"/>
          <w:lang w:val="en-US" w:eastAsia="zh-CN"/>
        </w:rPr>
        <w:t>273.87</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%。其中：20</w:t>
      </w:r>
      <w:r>
        <w:rPr>
          <w:rStyle w:val="16"/>
          <w:rFonts w:ascii="仿宋_GB2312" w:hAnsi="楷体" w:eastAsia="仿宋_GB2312"/>
          <w:b w:val="0"/>
          <w:spacing w:val="-4"/>
          <w:sz w:val="28"/>
          <w:szCs w:val="28"/>
        </w:rPr>
        <w:t>21</w:t>
      </w:r>
      <w:r>
        <w:rPr>
          <w:rStyle w:val="16"/>
          <w:rFonts w:hint="eastAsia" w:ascii="仿宋_GB2312" w:hAnsi="楷体" w:eastAsia="仿宋_GB2312"/>
          <w:b w:val="0"/>
          <w:spacing w:val="-4"/>
          <w:sz w:val="28"/>
          <w:szCs w:val="28"/>
        </w:rPr>
        <w:t>年结转专项资金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%；202</w:t>
      </w:r>
      <w:r>
        <w:rPr>
          <w:rStyle w:val="16"/>
          <w:rFonts w:ascii="仿宋_GB2312" w:hAnsi="楷体" w:eastAsia="仿宋_GB2312"/>
          <w:b w:val="0"/>
          <w:spacing w:val="-4"/>
          <w:sz w:val="28"/>
          <w:szCs w:val="28"/>
        </w:rPr>
        <w:t>1</w:t>
      </w:r>
      <w:r>
        <w:rPr>
          <w:rStyle w:val="16"/>
          <w:rFonts w:hint="eastAsia" w:ascii="仿宋_GB2312" w:hAnsi="楷体" w:eastAsia="仿宋_GB2312"/>
          <w:b w:val="0"/>
          <w:spacing w:val="-4"/>
          <w:sz w:val="28"/>
          <w:szCs w:val="28"/>
        </w:rPr>
        <w:t>年新增专项资金</w:t>
      </w:r>
      <w:r>
        <w:rPr>
          <w:rStyle w:val="16"/>
          <w:rFonts w:hint="eastAsia" w:ascii="仿宋_GB2312" w:hAnsi="楷体" w:eastAsia="仿宋_GB2312"/>
          <w:b w:val="0"/>
          <w:spacing w:val="-4"/>
          <w:sz w:val="28"/>
          <w:szCs w:val="28"/>
          <w:lang w:val="en-US" w:eastAsia="zh-CN"/>
        </w:rPr>
        <w:t>273.87</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273.87</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2、资金管理情况</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特克斯县特克斯镇卫生院</w:t>
      </w:r>
      <w:r>
        <w:rPr>
          <w:rStyle w:val="16"/>
          <w:rFonts w:hint="eastAsia" w:ascii="仿宋_GB2312" w:hAnsi="楷体" w:eastAsia="仿宋_GB2312"/>
          <w:b w:val="0"/>
          <w:color w:val="auto"/>
          <w:spacing w:val="-4"/>
          <w:sz w:val="28"/>
          <w:szCs w:val="28"/>
        </w:rPr>
        <w:t>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1"/>
        </w:numPr>
        <w:spacing w:line="360" w:lineRule="auto"/>
        <w:rPr>
          <w:rStyle w:val="16"/>
          <w:rFonts w:ascii="仿宋" w:hAnsi="仿宋" w:eastAsia="仿宋"/>
          <w:b/>
          <w:bCs/>
          <w:color w:val="auto"/>
        </w:rPr>
      </w:pPr>
      <w:r>
        <w:rPr>
          <w:rStyle w:val="16"/>
          <w:rFonts w:hint="eastAsia" w:ascii="仿宋" w:hAnsi="仿宋" w:eastAsia="仿宋"/>
          <w:b/>
          <w:bCs/>
          <w:color w:val="auto"/>
        </w:rPr>
        <w:t>项目实施情况分析</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1</w:t>
      </w:r>
      <w:r>
        <w:rPr>
          <w:rStyle w:val="16"/>
          <w:rFonts w:ascii="仿宋_GB2312" w:hAnsi="楷体" w:eastAsia="仿宋_GB2312"/>
          <w:b w:val="0"/>
          <w:color w:val="auto"/>
          <w:spacing w:val="-4"/>
          <w:sz w:val="28"/>
          <w:szCs w:val="28"/>
        </w:rPr>
        <w:t>、组织情况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特克斯县特克斯镇卫生院</w:t>
      </w:r>
      <w:r>
        <w:rPr>
          <w:rStyle w:val="16"/>
          <w:rFonts w:hint="eastAsia" w:ascii="仿宋_GB2312" w:hAnsi="楷体" w:eastAsia="仿宋_GB2312"/>
          <w:b w:val="0"/>
          <w:color w:val="auto"/>
          <w:spacing w:val="-4"/>
          <w:sz w:val="28"/>
          <w:szCs w:val="28"/>
        </w:rPr>
        <w:t>根据202</w:t>
      </w:r>
      <w:r>
        <w:rPr>
          <w:rStyle w:val="16"/>
          <w:rFonts w:ascii="仿宋_GB2312" w:hAnsi="楷体" w:eastAsia="仿宋_GB2312"/>
          <w:b w:val="0"/>
          <w:color w:val="auto"/>
          <w:spacing w:val="-4"/>
          <w:sz w:val="28"/>
          <w:szCs w:val="28"/>
        </w:rPr>
        <w:t>1</w:t>
      </w:r>
      <w:r>
        <w:rPr>
          <w:rStyle w:val="16"/>
          <w:rFonts w:hint="eastAsia" w:ascii="仿宋_GB2312" w:hAnsi="楷体" w:eastAsia="仿宋_GB2312"/>
          <w:b w:val="0"/>
          <w:color w:val="auto"/>
          <w:spacing w:val="-4"/>
          <w:sz w:val="28"/>
          <w:szCs w:val="28"/>
        </w:rPr>
        <w:t>年</w:t>
      </w: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个项目的绩效目标及工作内容，将其细化分工至本单位</w:t>
      </w:r>
      <w:r>
        <w:rPr>
          <w:rStyle w:val="16"/>
          <w:rFonts w:hint="eastAsia" w:ascii="仿宋_GB2312" w:hAnsi="楷体" w:eastAsia="仿宋_GB2312"/>
          <w:b w:val="0"/>
          <w:color w:val="auto"/>
          <w:spacing w:val="-4"/>
          <w:sz w:val="28"/>
          <w:szCs w:val="28"/>
          <w:lang w:val="en-US" w:eastAsia="zh-CN"/>
        </w:rPr>
        <w:t>6</w:t>
      </w:r>
      <w:r>
        <w:rPr>
          <w:rStyle w:val="16"/>
          <w:rFonts w:hint="eastAsia" w:ascii="仿宋_GB2312" w:hAnsi="楷体" w:eastAsia="仿宋_GB2312"/>
          <w:b w:val="0"/>
          <w:color w:val="auto"/>
          <w:spacing w:val="-4"/>
          <w:sz w:val="28"/>
          <w:szCs w:val="28"/>
        </w:rPr>
        <w:t>个科室负责人，加强组织领导，明确分工，各司其职，抓好工作目标任务的落实完成，同时年中要求各科室负责人按照年初预算对本科室绩效工作进行自查自评，并报上半年工作情况总结，</w:t>
      </w:r>
      <w:r>
        <w:rPr>
          <w:rStyle w:val="16"/>
          <w:rFonts w:ascii="仿宋_GB2312" w:hAnsi="楷体" w:eastAsia="仿宋_GB2312"/>
          <w:b w:val="0"/>
          <w:color w:val="auto"/>
          <w:spacing w:val="-4"/>
          <w:sz w:val="28"/>
          <w:szCs w:val="28"/>
        </w:rPr>
        <w:t>5</w:t>
      </w:r>
      <w:r>
        <w:rPr>
          <w:rStyle w:val="16"/>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2</w:t>
      </w:r>
      <w:r>
        <w:rPr>
          <w:rStyle w:val="16"/>
          <w:rFonts w:ascii="仿宋_GB2312" w:hAnsi="楷体" w:eastAsia="仿宋_GB2312"/>
          <w:b w:val="0"/>
          <w:color w:val="auto"/>
          <w:spacing w:val="-4"/>
          <w:sz w:val="28"/>
          <w:szCs w:val="28"/>
        </w:rPr>
        <w:t>、管理情况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特克斯县特克斯镇卫生院</w:t>
      </w:r>
      <w:r>
        <w:rPr>
          <w:rStyle w:val="16"/>
          <w:rFonts w:hint="eastAsia" w:ascii="仿宋_GB2312" w:hAnsi="楷体" w:eastAsia="仿宋_GB2312"/>
          <w:b w:val="0"/>
          <w:color w:val="auto"/>
          <w:spacing w:val="-4"/>
          <w:sz w:val="28"/>
          <w:szCs w:val="28"/>
        </w:rPr>
        <w:t>实施的</w:t>
      </w: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3</w:t>
      </w:r>
      <w:r>
        <w:rPr>
          <w:rStyle w:val="16"/>
          <w:rFonts w:ascii="仿宋_GB2312" w:hAnsi="楷体" w:eastAsia="仿宋_GB2312"/>
          <w:b w:val="0"/>
          <w:color w:val="auto"/>
          <w:spacing w:val="-4"/>
          <w:sz w:val="28"/>
          <w:szCs w:val="28"/>
        </w:rPr>
        <w:t>、监管情况</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eastAsia="zh-CN"/>
        </w:rPr>
        <w:t>特克斯县特克斯镇卫生院</w:t>
      </w:r>
      <w:r>
        <w:rPr>
          <w:rStyle w:val="16"/>
          <w:rFonts w:hint="eastAsia" w:ascii="仿宋_GB2312" w:hAnsi="楷体" w:eastAsia="仿宋_GB2312"/>
          <w:b w:val="0"/>
          <w:color w:val="auto"/>
          <w:spacing w:val="-4"/>
          <w:sz w:val="28"/>
          <w:szCs w:val="28"/>
        </w:rPr>
        <w:t>从项目实施方案、项目预算、项目建设进度、项目成本、项目验收等环节，全过程对项目进行监管，并向本单位主要领导报告，以推进项目建设和提高项目质量，以发挥资金使用效益。</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绩效情况分析</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w:t>
      </w:r>
      <w:r>
        <w:rPr>
          <w:rStyle w:val="16"/>
          <w:rFonts w:ascii="仿宋_GB2312" w:hAnsi="楷体" w:eastAsia="仿宋_GB2312"/>
          <w:b w:val="0"/>
          <w:bCs w:val="0"/>
          <w:spacing w:val="-4"/>
          <w:sz w:val="28"/>
          <w:szCs w:val="28"/>
        </w:rPr>
        <w:t>、成本控制情况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特克斯县特克斯镇卫生院</w:t>
      </w:r>
      <w:r>
        <w:rPr>
          <w:rStyle w:val="16"/>
          <w:rFonts w:hint="eastAsia" w:ascii="仿宋_GB2312" w:hAnsi="楷体" w:eastAsia="仿宋_GB2312"/>
          <w:b w:val="0"/>
          <w:spacing w:val="-4"/>
          <w:sz w:val="28"/>
          <w:szCs w:val="28"/>
        </w:rPr>
        <w:t>所涉及专项项目均已于专项资金下达后按照资金文件及绩效管理要求设置《项目绩效目标表》。</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个专项项目预算总额为</w:t>
      </w:r>
      <w:r>
        <w:rPr>
          <w:rStyle w:val="16"/>
          <w:rFonts w:hint="eastAsia" w:ascii="仿宋_GB2312" w:hAnsi="楷体" w:eastAsia="仿宋_GB2312"/>
          <w:b w:val="0"/>
          <w:spacing w:val="-4"/>
          <w:sz w:val="28"/>
          <w:szCs w:val="28"/>
          <w:lang w:val="en-US" w:eastAsia="zh-CN"/>
        </w:rPr>
        <w:t>273.87</w:t>
      </w:r>
      <w:r>
        <w:rPr>
          <w:rStyle w:val="16"/>
          <w:rFonts w:hint="eastAsia" w:ascii="仿宋_GB2312" w:hAnsi="楷体" w:eastAsia="仿宋_GB2312"/>
          <w:b w:val="0"/>
          <w:spacing w:val="-4"/>
          <w:sz w:val="28"/>
          <w:szCs w:val="28"/>
        </w:rPr>
        <w:t>万元，在项目实施过程中，业务人员加强项目管理，合理控制项目成本，截止项目结束，</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个项目总成本为</w:t>
      </w:r>
      <w:r>
        <w:rPr>
          <w:rStyle w:val="16"/>
          <w:rFonts w:hint="eastAsia" w:ascii="仿宋_GB2312" w:hAnsi="楷体" w:eastAsia="仿宋_GB2312"/>
          <w:b w:val="0"/>
          <w:spacing w:val="-4"/>
          <w:sz w:val="28"/>
          <w:szCs w:val="28"/>
          <w:lang w:val="en-US" w:eastAsia="zh-CN"/>
        </w:rPr>
        <w:t>273.87</w:t>
      </w:r>
      <w:r>
        <w:rPr>
          <w:rStyle w:val="16"/>
          <w:rFonts w:hint="eastAsia" w:ascii="仿宋_GB2312" w:hAnsi="楷体" w:eastAsia="仿宋_GB2312"/>
          <w:b w:val="0"/>
          <w:spacing w:val="-4"/>
          <w:sz w:val="28"/>
          <w:szCs w:val="28"/>
        </w:rPr>
        <w:t>万元，不存在超支情况。</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w:t>
      </w:r>
      <w:r>
        <w:rPr>
          <w:rStyle w:val="16"/>
          <w:rFonts w:ascii="仿宋_GB2312" w:hAnsi="楷体" w:eastAsia="仿宋_GB2312"/>
          <w:b w:val="0"/>
          <w:bCs w:val="0"/>
          <w:spacing w:val="-4"/>
          <w:sz w:val="28"/>
          <w:szCs w:val="28"/>
        </w:rPr>
        <w:t>、成本节约情况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特克斯县特克斯镇卫生院</w:t>
      </w:r>
      <w:r>
        <w:rPr>
          <w:rStyle w:val="16"/>
          <w:rFonts w:hint="eastAsia" w:ascii="仿宋_GB2312" w:hAnsi="楷体" w:eastAsia="仿宋_GB2312"/>
          <w:b w:val="0"/>
          <w:spacing w:val="-4"/>
          <w:sz w:val="28"/>
          <w:szCs w:val="28"/>
        </w:rPr>
        <w:t>所涉及专项项目使用资金比专项项目总预算减少</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w:t>
      </w:r>
      <w:bookmarkStart w:id="22" w:name="_Hlk96097132"/>
      <w:r>
        <w:rPr>
          <w:rStyle w:val="16"/>
          <w:rFonts w:hint="eastAsia" w:ascii="仿宋_GB2312" w:hAnsi="楷体" w:eastAsia="仿宋_GB2312"/>
          <w:b w:val="0"/>
          <w:spacing w:val="-4"/>
          <w:sz w:val="28"/>
          <w:szCs w:val="28"/>
        </w:rPr>
        <w:t>项目节约率</w:t>
      </w:r>
      <w:bookmarkEnd w:id="22"/>
      <w:r>
        <w:rPr>
          <w:rStyle w:val="16"/>
          <w:rFonts w:hint="eastAsia" w:ascii="仿宋_GB2312" w:hAnsi="楷体" w:eastAsia="仿宋_GB2312"/>
          <w:b w:val="0"/>
          <w:spacing w:val="-4"/>
          <w:sz w:val="28"/>
          <w:szCs w:val="28"/>
        </w:rPr>
        <w:t>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p>
    <w:p>
      <w:pPr>
        <w:pStyle w:val="5"/>
        <w:numPr>
          <w:ilvl w:val="0"/>
          <w:numId w:val="1"/>
        </w:numPr>
        <w:spacing w:line="360" w:lineRule="auto"/>
        <w:rPr>
          <w:rStyle w:val="16"/>
          <w:rFonts w:hint="eastAsia" w:ascii="仿宋" w:hAnsi="仿宋" w:eastAsia="仿宋"/>
          <w:b/>
          <w:bCs/>
        </w:rPr>
      </w:pPr>
      <w:r>
        <w:rPr>
          <w:rStyle w:val="16"/>
          <w:rFonts w:hint="eastAsia" w:ascii="仿宋" w:hAnsi="仿宋" w:eastAsia="仿宋"/>
          <w:b/>
          <w:bCs/>
        </w:rPr>
        <w:t>项目效率性分析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1、实施进度</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w:t>
      </w:r>
      <w:r>
        <w:rPr>
          <w:rStyle w:val="16"/>
          <w:rFonts w:hint="eastAsia" w:ascii="仿宋_GB2312" w:hAnsi="楷体" w:eastAsia="仿宋_GB2312"/>
          <w:b w:val="0"/>
          <w:spacing w:val="-4"/>
          <w:sz w:val="28"/>
          <w:szCs w:val="28"/>
          <w:lang w:eastAsia="zh-CN"/>
        </w:rPr>
        <w:t>特克斯县特克斯镇卫生院</w:t>
      </w:r>
      <w:r>
        <w:rPr>
          <w:rStyle w:val="16"/>
          <w:rFonts w:hint="eastAsia" w:ascii="仿宋_GB2312" w:hAnsi="楷体" w:eastAsia="仿宋_GB2312"/>
          <w:b w:val="0"/>
          <w:spacing w:val="-4"/>
          <w:sz w:val="28"/>
          <w:szCs w:val="28"/>
        </w:rPr>
        <w:t>共涉及专项项目</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个，截止到202</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年底，通过专项项目实施过程中的有效监督，我单位按预期完成了</w:t>
      </w: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个专项的各项专项任务，项目总体完成率为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2、完成质量</w:t>
      </w:r>
    </w:p>
    <w:p>
      <w:pPr>
        <w:spacing w:line="360" w:lineRule="auto"/>
        <w:ind w:firstLine="544" w:firstLineChars="200"/>
        <w:rPr>
          <w:rStyle w:val="16"/>
          <w:rFonts w:hint="eastAsia" w:ascii="仿宋_GB2312" w:hAnsi="楷体" w:eastAsia="仿宋_GB2312"/>
          <w:b w:val="0"/>
          <w:spacing w:val="-4"/>
          <w:sz w:val="28"/>
          <w:szCs w:val="28"/>
        </w:rPr>
      </w:pPr>
      <w:bookmarkStart w:id="23" w:name="_Hlk96100380"/>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个专项项目完成质量情况如下：</w:t>
      </w:r>
      <w:bookmarkEnd w:id="23"/>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1、</w:t>
      </w:r>
      <w:r>
        <w:rPr>
          <w:rStyle w:val="16"/>
          <w:rFonts w:hint="eastAsia" w:ascii="仿宋_GB2312" w:hAnsi="楷体" w:eastAsia="仿宋_GB2312"/>
          <w:b w:val="0"/>
          <w:color w:val="auto"/>
          <w:spacing w:val="-4"/>
          <w:sz w:val="28"/>
          <w:szCs w:val="28"/>
          <w:highlight w:val="none"/>
        </w:rPr>
        <w:t>全民健康体检项目</w:t>
      </w:r>
      <w:r>
        <w:rPr>
          <w:rStyle w:val="16"/>
          <w:rFonts w:hint="eastAsia" w:ascii="仿宋_GB2312" w:hAnsi="楷体" w:eastAsia="仿宋_GB2312"/>
          <w:b w:val="0"/>
          <w:color w:val="auto"/>
          <w:spacing w:val="-4"/>
          <w:sz w:val="28"/>
          <w:szCs w:val="28"/>
          <w:highlight w:val="none"/>
          <w:lang w:eastAsia="zh-CN"/>
        </w:rPr>
        <w:t>；</w:t>
      </w:r>
      <w:r>
        <w:rPr>
          <w:rStyle w:val="16"/>
          <w:rFonts w:hint="eastAsia" w:ascii="仿宋_GB2312" w:hAnsi="楷体" w:eastAsia="仿宋_GB2312"/>
          <w:b w:val="0"/>
          <w:color w:val="auto"/>
          <w:spacing w:val="-4"/>
          <w:sz w:val="28"/>
          <w:szCs w:val="28"/>
          <w:highlight w:val="none"/>
        </w:rPr>
        <w:t>完成开展全民健康体检工作，体检覆盖率100%；全民健康体检信息系统建设率100%；居民健康档案规范化电子建档率93.05%；全民健康体检设备到位率100%；居民健康保健意识和知晓率逐步提高；居民健康水平提高。</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2、基本药物补助项目适应基本医疗卫生需求，剂型适宜，价格零差价，能够保障供应，公众可公平获得的药品。政府举办的基层医疗卫生机构全部配备和使用基本药物，其他各类医疗机构也都必须按规定使用基本药物。乡村医生补助足额到位，进一步提升基层医疗卫生服务水平，医改政策惠及民生，满足辖区群众对村级医疗工作的需求</w:t>
      </w:r>
    </w:p>
    <w:p>
      <w:p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4、基本公共卫生服务项目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w:t>
      </w:r>
    </w:p>
    <w:p>
      <w:pPr>
        <w:pStyle w:val="5"/>
        <w:numPr>
          <w:ilvl w:val="0"/>
          <w:numId w:val="1"/>
        </w:numPr>
        <w:spacing w:line="360" w:lineRule="auto"/>
        <w:rPr>
          <w:rStyle w:val="16"/>
          <w:rFonts w:ascii="仿宋" w:hAnsi="仿宋" w:eastAsia="仿宋"/>
          <w:b/>
          <w:bCs/>
        </w:rPr>
      </w:pPr>
      <w:r>
        <w:rPr>
          <w:rStyle w:val="16"/>
          <w:rFonts w:hint="eastAsia" w:ascii="仿宋" w:hAnsi="仿宋" w:eastAsia="仿宋"/>
          <w:b/>
          <w:bCs/>
        </w:rPr>
        <w:t>项目效益性分析</w:t>
      </w:r>
    </w:p>
    <w:p>
      <w:pPr>
        <w:ind w:firstLine="544" w:firstLineChars="200"/>
        <w:rPr>
          <w:rStyle w:val="16"/>
          <w:rFonts w:ascii="仿宋_GB2312" w:hAnsi="楷体" w:eastAsia="仿宋_GB2312"/>
          <w:b w:val="0"/>
          <w:bCs w:val="0"/>
          <w:spacing w:val="-4"/>
          <w:sz w:val="28"/>
          <w:szCs w:val="28"/>
          <w:highlight w:val="none"/>
        </w:rPr>
      </w:pPr>
      <w:bookmarkStart w:id="24" w:name="_Toc70450310"/>
      <w:r>
        <w:rPr>
          <w:rStyle w:val="16"/>
          <w:rFonts w:hint="eastAsia" w:ascii="仿宋_GB2312" w:hAnsi="楷体" w:eastAsia="仿宋_GB2312"/>
          <w:b w:val="0"/>
          <w:bCs w:val="0"/>
          <w:spacing w:val="-4"/>
          <w:sz w:val="28"/>
          <w:szCs w:val="28"/>
          <w:highlight w:val="none"/>
          <w:lang w:val="en-US" w:eastAsia="zh-CN"/>
        </w:rPr>
        <w:t>3</w:t>
      </w:r>
      <w:r>
        <w:rPr>
          <w:rStyle w:val="16"/>
          <w:rFonts w:hint="eastAsia" w:ascii="仿宋_GB2312" w:hAnsi="楷体" w:eastAsia="仿宋_GB2312"/>
          <w:b w:val="0"/>
          <w:bCs w:val="0"/>
          <w:spacing w:val="-4"/>
          <w:sz w:val="28"/>
          <w:szCs w:val="28"/>
          <w:highlight w:val="none"/>
        </w:rPr>
        <w:t>个专项项目预期目标完成程度、实施对经济和社会的影响如下</w:t>
      </w:r>
    </w:p>
    <w:p>
      <w:pPr>
        <w:numPr>
          <w:ilvl w:val="0"/>
          <w:numId w:val="2"/>
        </w:numPr>
        <w:spacing w:line="360" w:lineRule="auto"/>
        <w:ind w:firstLine="544" w:firstLineChars="200"/>
        <w:rPr>
          <w:rStyle w:val="16"/>
          <w:rFonts w:hint="eastAsia" w:ascii="仿宋_GB2312" w:hAnsi="楷体" w:eastAsia="仿宋_GB2312"/>
          <w:b w:val="0"/>
          <w:color w:val="auto"/>
          <w:spacing w:val="-4"/>
          <w:sz w:val="28"/>
          <w:szCs w:val="28"/>
          <w:highlight w:val="none"/>
          <w:lang w:val="en-US" w:eastAsia="zh-CN"/>
        </w:rPr>
      </w:pPr>
      <w:r>
        <w:rPr>
          <w:rStyle w:val="16"/>
          <w:rFonts w:hint="eastAsia" w:ascii="仿宋_GB2312" w:hAnsi="楷体" w:eastAsia="仿宋_GB2312"/>
          <w:b w:val="0"/>
          <w:color w:val="auto"/>
          <w:spacing w:val="-4"/>
          <w:sz w:val="28"/>
          <w:szCs w:val="28"/>
          <w:highlight w:val="none"/>
          <w:lang w:val="en-US" w:eastAsia="zh-CN"/>
        </w:rPr>
        <w:t>基本公共卫生项目促进基本公共卫生服务逐步均等化的重要内容，是深化医药卫生体制改革的重要工作。</w:t>
      </w:r>
    </w:p>
    <w:p>
      <w:pPr>
        <w:numPr>
          <w:ilvl w:val="0"/>
          <w:numId w:val="2"/>
        </w:numPr>
        <w:spacing w:line="360" w:lineRule="auto"/>
        <w:ind w:firstLine="544" w:firstLineChars="200"/>
        <w:rPr>
          <w:rStyle w:val="16"/>
          <w:rFonts w:hint="eastAsia" w:ascii="仿宋_GB2312" w:hAnsi="楷体" w:eastAsia="仿宋_GB2312"/>
          <w:b w:val="0"/>
          <w:bCs w:val="0"/>
          <w:color w:val="auto"/>
          <w:spacing w:val="-4"/>
          <w:sz w:val="28"/>
          <w:szCs w:val="28"/>
          <w:highlight w:val="none"/>
          <w:lang w:val="en-US" w:eastAsia="zh-CN"/>
        </w:rPr>
      </w:pPr>
      <w:r>
        <w:rPr>
          <w:rStyle w:val="16"/>
          <w:rFonts w:hint="eastAsia" w:ascii="仿宋_GB2312" w:hAnsi="楷体" w:eastAsia="仿宋_GB2312"/>
          <w:b w:val="0"/>
          <w:bCs w:val="0"/>
          <w:color w:val="auto"/>
          <w:spacing w:val="-4"/>
          <w:sz w:val="28"/>
          <w:szCs w:val="28"/>
          <w:highlight w:val="none"/>
        </w:rPr>
        <w:t>全民健康体检项目</w:t>
      </w:r>
      <w:r>
        <w:rPr>
          <w:rStyle w:val="16"/>
          <w:rFonts w:hint="eastAsia" w:ascii="仿宋_GB2312" w:hAnsi="楷体" w:eastAsia="仿宋_GB2312"/>
          <w:b w:val="0"/>
          <w:bCs w:val="0"/>
          <w:color w:val="auto"/>
          <w:spacing w:val="-4"/>
          <w:sz w:val="28"/>
          <w:szCs w:val="28"/>
          <w:highlight w:val="none"/>
          <w:lang w:eastAsia="zh-CN"/>
        </w:rPr>
        <w:t>；</w:t>
      </w:r>
      <w:r>
        <w:rPr>
          <w:rStyle w:val="16"/>
          <w:rFonts w:hint="eastAsia" w:ascii="仿宋_GB2312" w:hAnsi="楷体" w:eastAsia="仿宋_GB2312"/>
          <w:b w:val="0"/>
          <w:bCs w:val="0"/>
          <w:color w:val="auto"/>
          <w:spacing w:val="-4"/>
          <w:sz w:val="28"/>
          <w:szCs w:val="28"/>
          <w:highlight w:val="none"/>
        </w:rPr>
        <w:t>完成</w:t>
      </w:r>
      <w:r>
        <w:rPr>
          <w:rStyle w:val="16"/>
          <w:rFonts w:hint="eastAsia" w:ascii="仿宋_GB2312" w:hAnsi="楷体" w:eastAsia="仿宋_GB2312"/>
          <w:b w:val="0"/>
          <w:bCs w:val="0"/>
          <w:color w:val="auto"/>
          <w:spacing w:val="-4"/>
          <w:sz w:val="28"/>
          <w:szCs w:val="28"/>
          <w:highlight w:val="none"/>
          <w:lang w:eastAsia="zh-CN"/>
        </w:rPr>
        <w:t>有效提高提升公共卫生均等化水平，有效保障保障本县居民的身体健康。</w:t>
      </w:r>
    </w:p>
    <w:p>
      <w:pPr>
        <w:numPr>
          <w:ilvl w:val="0"/>
          <w:numId w:val="2"/>
        </w:num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lang w:val="en-US" w:eastAsia="zh-CN"/>
        </w:rPr>
        <w:t>基本药物补助项目</w:t>
      </w:r>
      <w:r>
        <w:rPr>
          <w:rStyle w:val="16"/>
          <w:rFonts w:hint="eastAsia" w:ascii="仿宋_GB2312" w:hAnsi="楷体" w:eastAsia="仿宋_GB2312"/>
          <w:b w:val="0"/>
          <w:bCs w:val="0"/>
          <w:color w:val="auto"/>
          <w:spacing w:val="-4"/>
          <w:sz w:val="28"/>
          <w:szCs w:val="28"/>
          <w:highlight w:val="none"/>
        </w:rPr>
        <w:t>保障全区所有政府办基层医疗卫生机构实施国家基本药物制度，推进综合改革顺利进行。对实施国家基本药物制度的村卫生室给予补助，支持国家基本药物制度在村卫生室顺利实施。</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四、资产管理情况</w:t>
      </w:r>
      <w:bookmarkEnd w:id="24"/>
    </w:p>
    <w:p>
      <w:pPr>
        <w:pStyle w:val="4"/>
        <w:spacing w:line="360" w:lineRule="auto"/>
        <w:rPr>
          <w:rStyle w:val="16"/>
          <w:rFonts w:ascii="仿宋" w:hAnsi="仿宋" w:eastAsia="仿宋"/>
          <w:b/>
          <w:bCs/>
        </w:rPr>
      </w:pPr>
      <w:bookmarkStart w:id="25" w:name="_Toc70450311"/>
      <w:r>
        <w:rPr>
          <w:rStyle w:val="16"/>
          <w:rFonts w:hint="eastAsia" w:ascii="仿宋" w:hAnsi="仿宋" w:eastAsia="仿宋"/>
          <w:b/>
          <w:bCs/>
        </w:rPr>
        <w:t>（一）资产配置情况</w:t>
      </w:r>
      <w:bookmarkEnd w:id="25"/>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宋体" w:eastAsia="仿宋_GB2312"/>
          <w:b w:val="0"/>
          <w:bCs w:val="0"/>
          <w:spacing w:val="-4"/>
          <w:sz w:val="28"/>
          <w:szCs w:val="28"/>
          <w:lang w:eastAsia="zh-CN"/>
        </w:rPr>
        <w:t>单位</w:t>
      </w:r>
      <w:r>
        <w:rPr>
          <w:rStyle w:val="16"/>
          <w:rFonts w:hint="eastAsia" w:ascii="仿宋_GB2312" w:hAnsi="宋体" w:eastAsia="仿宋_GB2312"/>
          <w:b w:val="0"/>
          <w:bCs w:val="0"/>
          <w:spacing w:val="-4"/>
          <w:sz w:val="28"/>
          <w:szCs w:val="28"/>
        </w:rPr>
        <w:t xml:space="preserve">资产总额 </w:t>
      </w:r>
      <w:r>
        <w:rPr>
          <w:rStyle w:val="16"/>
          <w:rFonts w:hint="eastAsia" w:ascii="仿宋_GB2312" w:hAnsi="宋体" w:eastAsia="仿宋_GB2312"/>
          <w:b w:val="0"/>
          <w:bCs w:val="0"/>
          <w:spacing w:val="-4"/>
          <w:sz w:val="28"/>
          <w:szCs w:val="28"/>
          <w:lang w:val="en-US" w:eastAsia="zh-CN"/>
        </w:rPr>
        <w:t>352.63</w:t>
      </w:r>
      <w:r>
        <w:rPr>
          <w:rStyle w:val="16"/>
          <w:rFonts w:hint="eastAsia" w:ascii="仿宋_GB2312" w:hAnsi="宋体" w:eastAsia="仿宋_GB2312"/>
          <w:b w:val="0"/>
          <w:bCs w:val="0"/>
          <w:spacing w:val="-4"/>
          <w:sz w:val="28"/>
          <w:szCs w:val="28"/>
        </w:rPr>
        <w:t xml:space="preserve"> 万元，其中流动资产 </w:t>
      </w:r>
      <w:r>
        <w:rPr>
          <w:rStyle w:val="16"/>
          <w:rFonts w:hint="eastAsia" w:ascii="仿宋_GB2312" w:hAnsi="宋体" w:eastAsia="仿宋_GB2312"/>
          <w:b w:val="0"/>
          <w:bCs w:val="0"/>
          <w:spacing w:val="-4"/>
          <w:sz w:val="28"/>
          <w:szCs w:val="28"/>
          <w:lang w:val="en-US" w:eastAsia="zh-CN"/>
        </w:rPr>
        <w:t>197.42</w:t>
      </w:r>
      <w:r>
        <w:rPr>
          <w:rStyle w:val="16"/>
          <w:rFonts w:hint="eastAsia" w:ascii="仿宋_GB2312" w:hAnsi="宋体" w:eastAsia="仿宋_GB2312"/>
          <w:b w:val="0"/>
          <w:bCs w:val="0"/>
          <w:spacing w:val="-4"/>
          <w:sz w:val="28"/>
          <w:szCs w:val="28"/>
        </w:rPr>
        <w:t xml:space="preserve"> 万元，固定资产净值 </w:t>
      </w:r>
      <w:r>
        <w:rPr>
          <w:rStyle w:val="16"/>
          <w:rFonts w:hint="eastAsia" w:ascii="仿宋_GB2312" w:hAnsi="宋体" w:eastAsia="仿宋_GB2312"/>
          <w:b w:val="0"/>
          <w:bCs w:val="0"/>
          <w:spacing w:val="-4"/>
          <w:sz w:val="28"/>
          <w:szCs w:val="28"/>
          <w:lang w:val="en-US" w:eastAsia="zh-CN"/>
        </w:rPr>
        <w:t>150.22</w:t>
      </w:r>
      <w:r>
        <w:rPr>
          <w:rStyle w:val="16"/>
          <w:rFonts w:hint="eastAsia" w:ascii="仿宋_GB2312" w:hAnsi="宋体" w:eastAsia="仿宋_GB2312"/>
          <w:b w:val="0"/>
          <w:bCs w:val="0"/>
          <w:spacing w:val="-4"/>
          <w:sz w:val="28"/>
          <w:szCs w:val="28"/>
        </w:rPr>
        <w:t xml:space="preserve"> 万元（其中：土地、房屋及构筑物</w:t>
      </w:r>
      <w:r>
        <w:rPr>
          <w:rStyle w:val="16"/>
          <w:rFonts w:hint="eastAsia" w:ascii="仿宋_GB2312" w:hAnsi="宋体" w:eastAsia="仿宋_GB2312"/>
          <w:b w:val="0"/>
          <w:bCs w:val="0"/>
          <w:spacing w:val="-4"/>
          <w:sz w:val="28"/>
          <w:szCs w:val="28"/>
          <w:lang w:val="en-US" w:eastAsia="zh-CN"/>
        </w:rPr>
        <w:t>50.82</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33.83</w:t>
      </w:r>
      <w:r>
        <w:rPr>
          <w:rStyle w:val="16"/>
          <w:rFonts w:hint="eastAsia" w:ascii="仿宋_GB2312" w:hAnsi="宋体" w:eastAsia="仿宋_GB2312"/>
          <w:b w:val="0"/>
          <w:bCs w:val="0"/>
          <w:spacing w:val="-4"/>
          <w:sz w:val="28"/>
          <w:szCs w:val="28"/>
        </w:rPr>
        <w:t xml:space="preserve">%；通用设备 </w:t>
      </w:r>
      <w:r>
        <w:rPr>
          <w:rStyle w:val="16"/>
          <w:rFonts w:hint="eastAsia" w:ascii="仿宋_GB2312" w:hAnsi="宋体" w:eastAsia="仿宋_GB2312"/>
          <w:b w:val="0"/>
          <w:bCs w:val="0"/>
          <w:spacing w:val="-4"/>
          <w:sz w:val="28"/>
          <w:szCs w:val="28"/>
          <w:lang w:val="en-US" w:eastAsia="zh-CN"/>
        </w:rPr>
        <w:t>23.1</w:t>
      </w:r>
      <w:r>
        <w:rPr>
          <w:rStyle w:val="16"/>
          <w:rFonts w:hint="eastAsia" w:ascii="仿宋_GB2312" w:hAnsi="宋体" w:eastAsia="仿宋_GB2312"/>
          <w:b w:val="0"/>
          <w:bCs w:val="0"/>
          <w:spacing w:val="-4"/>
          <w:sz w:val="28"/>
          <w:szCs w:val="28"/>
        </w:rPr>
        <w:t xml:space="preserve"> 万元，占固定资产净值的</w:t>
      </w:r>
      <w:r>
        <w:rPr>
          <w:rStyle w:val="16"/>
          <w:rFonts w:hint="eastAsia" w:ascii="仿宋_GB2312" w:hAnsi="宋体" w:eastAsia="仿宋_GB2312"/>
          <w:b w:val="0"/>
          <w:bCs w:val="0"/>
          <w:spacing w:val="-4"/>
          <w:sz w:val="28"/>
          <w:szCs w:val="28"/>
          <w:lang w:val="en-US" w:eastAsia="zh-CN"/>
        </w:rPr>
        <w:t>15.38</w:t>
      </w:r>
      <w:r>
        <w:rPr>
          <w:rStyle w:val="16"/>
          <w:rFonts w:hint="eastAsia" w:ascii="仿宋_GB2312" w:hAnsi="宋体" w:eastAsia="仿宋_GB2312"/>
          <w:b w:val="0"/>
          <w:bCs w:val="0"/>
          <w:spacing w:val="-4"/>
          <w:sz w:val="28"/>
          <w:szCs w:val="28"/>
        </w:rPr>
        <w:t xml:space="preserve">%；专用设备 </w:t>
      </w:r>
      <w:r>
        <w:rPr>
          <w:rStyle w:val="16"/>
          <w:rFonts w:hint="eastAsia" w:ascii="仿宋_GB2312" w:hAnsi="宋体" w:eastAsia="仿宋_GB2312"/>
          <w:b w:val="0"/>
          <w:bCs w:val="0"/>
          <w:spacing w:val="-4"/>
          <w:sz w:val="28"/>
          <w:szCs w:val="28"/>
          <w:lang w:val="en-US" w:eastAsia="zh-CN"/>
        </w:rPr>
        <w:t>65.34</w:t>
      </w:r>
      <w:r>
        <w:rPr>
          <w:rStyle w:val="16"/>
          <w:rFonts w:hint="eastAsia" w:ascii="仿宋_GB2312" w:hAnsi="宋体" w:eastAsia="仿宋_GB2312"/>
          <w:b w:val="0"/>
          <w:bCs w:val="0"/>
          <w:spacing w:val="-4"/>
          <w:sz w:val="28"/>
          <w:szCs w:val="28"/>
        </w:rPr>
        <w:t xml:space="preserve"> 万元，占固定资产净值的</w:t>
      </w:r>
      <w:r>
        <w:rPr>
          <w:rStyle w:val="16"/>
          <w:rFonts w:hint="eastAsia" w:ascii="仿宋_GB2312" w:hAnsi="宋体" w:eastAsia="仿宋_GB2312"/>
          <w:b w:val="0"/>
          <w:bCs w:val="0"/>
          <w:spacing w:val="-4"/>
          <w:sz w:val="28"/>
          <w:szCs w:val="28"/>
          <w:lang w:val="en-US" w:eastAsia="zh-CN"/>
        </w:rPr>
        <w:t>43.5</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eastAsia="zh-CN"/>
        </w:rPr>
        <w:t>家具类</w:t>
      </w:r>
      <w:r>
        <w:rPr>
          <w:rStyle w:val="16"/>
          <w:rFonts w:hint="eastAsia" w:ascii="仿宋_GB2312" w:hAnsi="宋体" w:eastAsia="仿宋_GB2312"/>
          <w:b w:val="0"/>
          <w:bCs w:val="0"/>
          <w:spacing w:val="-4"/>
          <w:sz w:val="28"/>
          <w:szCs w:val="28"/>
          <w:lang w:val="en-US" w:eastAsia="zh-CN"/>
        </w:rPr>
        <w:t>10.96万元，</w:t>
      </w:r>
      <w:r>
        <w:rPr>
          <w:rStyle w:val="16"/>
          <w:rFonts w:hint="eastAsia" w:ascii="仿宋_GB2312" w:hAnsi="宋体" w:eastAsia="仿宋_GB2312"/>
          <w:b w:val="0"/>
          <w:bCs w:val="0"/>
          <w:spacing w:val="-4"/>
          <w:sz w:val="28"/>
          <w:szCs w:val="28"/>
        </w:rPr>
        <w:t>占固定资产净值的</w:t>
      </w:r>
      <w:r>
        <w:rPr>
          <w:rStyle w:val="16"/>
          <w:rFonts w:hint="eastAsia" w:ascii="仿宋_GB2312" w:hAnsi="宋体" w:eastAsia="仿宋_GB2312"/>
          <w:b w:val="0"/>
          <w:bCs w:val="0"/>
          <w:spacing w:val="-4"/>
          <w:sz w:val="28"/>
          <w:szCs w:val="28"/>
          <w:lang w:val="en-US" w:eastAsia="zh-CN"/>
        </w:rPr>
        <w:t>7.3</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 xml:space="preserve">本年度流动资产 </w:t>
      </w:r>
      <w:r>
        <w:rPr>
          <w:rStyle w:val="16"/>
          <w:rFonts w:hint="eastAsia" w:ascii="仿宋_GB2312" w:hAnsi="宋体" w:eastAsia="仿宋_GB2312"/>
          <w:b w:val="0"/>
          <w:bCs w:val="0"/>
          <w:spacing w:val="-4"/>
          <w:sz w:val="28"/>
          <w:szCs w:val="28"/>
          <w:lang w:val="en-US" w:eastAsia="zh-CN"/>
        </w:rPr>
        <w:t>197.42</w:t>
      </w:r>
      <w:r>
        <w:rPr>
          <w:rStyle w:val="16"/>
          <w:rFonts w:hint="eastAsia" w:ascii="仿宋_GB2312" w:hAnsi="宋体" w:eastAsia="仿宋_GB2312"/>
          <w:b w:val="0"/>
          <w:bCs w:val="0"/>
          <w:spacing w:val="-4"/>
          <w:sz w:val="28"/>
          <w:szCs w:val="28"/>
        </w:rPr>
        <w:t xml:space="preserve"> 万元，比上年</w:t>
      </w:r>
      <w:r>
        <w:rPr>
          <w:rStyle w:val="16"/>
          <w:rFonts w:hint="eastAsia" w:ascii="仿宋_GB2312" w:hAnsi="宋体" w:eastAsia="仿宋_GB2312"/>
          <w:b w:val="0"/>
          <w:bCs w:val="0"/>
          <w:spacing w:val="-4"/>
          <w:sz w:val="28"/>
          <w:szCs w:val="28"/>
          <w:lang w:eastAsia="zh-CN"/>
        </w:rPr>
        <w:t>增加</w:t>
      </w:r>
      <w:r>
        <w:rPr>
          <w:rStyle w:val="16"/>
          <w:rFonts w:hint="eastAsia" w:ascii="仿宋_GB2312" w:hAnsi="宋体" w:eastAsia="仿宋_GB2312"/>
          <w:b w:val="0"/>
          <w:bCs w:val="0"/>
          <w:spacing w:val="-4"/>
          <w:sz w:val="28"/>
          <w:szCs w:val="28"/>
          <w:lang w:val="en-US" w:eastAsia="zh-CN"/>
        </w:rPr>
        <w:t>32.79</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本年度应收账款增加</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753.3</w:t>
      </w:r>
      <w:r>
        <w:rPr>
          <w:rStyle w:val="16"/>
          <w:rFonts w:hint="eastAsia" w:ascii="仿宋_GB2312" w:hAnsi="宋体" w:eastAsia="仿宋_GB2312"/>
          <w:b w:val="0"/>
          <w:bCs w:val="0"/>
          <w:spacing w:val="-4"/>
          <w:sz w:val="28"/>
          <w:szCs w:val="28"/>
        </w:rPr>
        <w:t xml:space="preserve"> 万元，比上年增加</w:t>
      </w:r>
      <w:r>
        <w:rPr>
          <w:rStyle w:val="16"/>
          <w:rFonts w:hint="eastAsia" w:ascii="仿宋_GB2312" w:hAnsi="宋体" w:eastAsia="仿宋_GB2312"/>
          <w:b w:val="0"/>
          <w:bCs w:val="0"/>
          <w:spacing w:val="-4"/>
          <w:sz w:val="28"/>
          <w:szCs w:val="28"/>
          <w:lang w:val="en-US" w:eastAsia="zh-CN"/>
        </w:rPr>
        <w:t>10.83</w:t>
      </w:r>
      <w:r>
        <w:rPr>
          <w:rStyle w:val="16"/>
          <w:rFonts w:hint="eastAsia" w:ascii="仿宋_GB2312" w:hAnsi="宋体" w:eastAsia="仿宋_GB2312"/>
          <w:b w:val="0"/>
          <w:bCs w:val="0"/>
          <w:spacing w:val="-4"/>
          <w:sz w:val="28"/>
          <w:szCs w:val="28"/>
        </w:rPr>
        <w:t xml:space="preserve"> 万元，原因是：</w:t>
      </w:r>
      <w:r>
        <w:rPr>
          <w:rStyle w:val="16"/>
          <w:rFonts w:hint="eastAsia" w:ascii="仿宋_GB2312" w:hAnsi="宋体" w:eastAsia="仿宋_GB2312"/>
          <w:b w:val="0"/>
          <w:bCs w:val="0"/>
          <w:spacing w:val="-4"/>
          <w:sz w:val="28"/>
          <w:szCs w:val="28"/>
          <w:lang w:eastAsia="zh-CN"/>
        </w:rPr>
        <w:t>本年新增固定资产</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 xml:space="preserve">实际在用固定资产 </w:t>
      </w:r>
      <w:r>
        <w:rPr>
          <w:rStyle w:val="16"/>
          <w:rFonts w:hint="eastAsia" w:ascii="仿宋_GB2312" w:hAnsi="宋体" w:eastAsia="仿宋_GB2312"/>
          <w:b w:val="0"/>
          <w:bCs w:val="0"/>
          <w:spacing w:val="-4"/>
          <w:sz w:val="28"/>
          <w:szCs w:val="28"/>
          <w:lang w:val="en-US" w:eastAsia="zh-CN"/>
        </w:rPr>
        <w:t>753.3</w:t>
      </w:r>
      <w:r>
        <w:rPr>
          <w:rStyle w:val="16"/>
          <w:rFonts w:hint="eastAsia" w:ascii="仿宋_GB2312" w:hAnsi="宋体" w:eastAsia="仿宋_GB2312"/>
          <w:b w:val="0"/>
          <w:bCs w:val="0"/>
          <w:spacing w:val="-4"/>
          <w:sz w:val="28"/>
          <w:szCs w:val="28"/>
        </w:rPr>
        <w:t xml:space="preserve"> 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bookmarkStart w:id="26" w:name="_Toc70450312"/>
      <w:r>
        <w:rPr>
          <w:rStyle w:val="16"/>
          <w:rFonts w:hint="eastAsia" w:ascii="仿宋" w:hAnsi="仿宋" w:eastAsia="仿宋"/>
          <w:b/>
          <w:bCs/>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bookmarkStart w:id="27" w:name="_Toc70450313"/>
    </w:p>
    <w:p>
      <w:pPr>
        <w:spacing w:line="360" w:lineRule="auto"/>
        <w:rPr>
          <w:rFonts w:ascii="仿宋" w:hAnsi="仿宋" w:eastAsia="仿宋"/>
          <w:b/>
          <w:bCs/>
          <w:sz w:val="36"/>
          <w:szCs w:val="36"/>
          <w:lang w:bidi="ar"/>
        </w:rPr>
      </w:pPr>
      <w:r>
        <w:rPr>
          <w:rFonts w:hint="eastAsia" w:ascii="仿宋" w:hAnsi="仿宋" w:eastAsia="仿宋"/>
          <w:b/>
          <w:bCs/>
          <w:sz w:val="36"/>
          <w:szCs w:val="36"/>
          <w:lang w:bidi="ar"/>
        </w:rPr>
        <w:t>五、部门单位整体支出绩效情况</w:t>
      </w:r>
      <w:bookmarkEnd w:id="27"/>
    </w:p>
    <w:p>
      <w:pPr>
        <w:pStyle w:val="4"/>
        <w:spacing w:line="360" w:lineRule="auto"/>
        <w:ind w:firstLine="643" w:firstLineChars="200"/>
        <w:rPr>
          <w:rStyle w:val="16"/>
          <w:rFonts w:ascii="仿宋" w:hAnsi="仿宋" w:eastAsia="仿宋"/>
          <w:b/>
          <w:bCs/>
        </w:rPr>
      </w:pPr>
      <w:bookmarkStart w:id="28" w:name="_Toc70450314"/>
      <w:r>
        <w:rPr>
          <w:rStyle w:val="16"/>
          <w:rFonts w:hint="eastAsia" w:ascii="仿宋" w:hAnsi="仿宋" w:eastAsia="仿宋"/>
          <w:b/>
          <w:bCs/>
        </w:rPr>
        <w:t>（一）经济效益评价</w:t>
      </w:r>
      <w:bookmarkEnd w:id="28"/>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276.5</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rPr>
        <w:t>万元，年中调整</w:t>
      </w:r>
      <w:r>
        <w:rPr>
          <w:rStyle w:val="16"/>
          <w:rFonts w:hint="eastAsia" w:ascii="仿宋_GB2312" w:hAnsi="宋体" w:eastAsia="仿宋_GB2312"/>
          <w:b w:val="0"/>
          <w:bCs w:val="0"/>
          <w:spacing w:val="-4"/>
          <w:sz w:val="28"/>
          <w:szCs w:val="28"/>
          <w:lang w:val="en-US" w:eastAsia="zh-CN"/>
        </w:rPr>
        <w:t>335.07</w:t>
      </w:r>
      <w:r>
        <w:rPr>
          <w:rStyle w:val="16"/>
          <w:rFonts w:hint="eastAsia" w:ascii="仿宋_GB2312" w:hAnsi="宋体" w:eastAsia="仿宋_GB2312"/>
          <w:b w:val="0"/>
          <w:bCs w:val="0"/>
          <w:spacing w:val="-4"/>
          <w:sz w:val="28"/>
          <w:szCs w:val="28"/>
        </w:rPr>
        <w:t>万元，截止12月底支出</w:t>
      </w:r>
      <w:r>
        <w:rPr>
          <w:rStyle w:val="16"/>
          <w:rFonts w:hint="eastAsia" w:ascii="仿宋_GB2312" w:hAnsi="宋体" w:eastAsia="仿宋_GB2312"/>
          <w:b w:val="0"/>
          <w:bCs w:val="0"/>
          <w:spacing w:val="-4"/>
          <w:sz w:val="28"/>
          <w:szCs w:val="28"/>
          <w:lang w:val="en-US" w:eastAsia="zh-CN"/>
        </w:rPr>
        <w:t>611.57</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9" w:name="_Toc70450315"/>
      <w:r>
        <w:rPr>
          <w:rStyle w:val="16"/>
          <w:rFonts w:hint="eastAsia" w:ascii="仿宋" w:hAnsi="仿宋" w:eastAsia="仿宋"/>
          <w:b/>
          <w:bCs/>
        </w:rPr>
        <w:t>（二）效率性评价</w:t>
      </w:r>
      <w:bookmarkEnd w:id="29"/>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eastAsia="zh-CN"/>
        </w:rPr>
        <w:t>财政</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eastAsia="zh-CN"/>
        </w:rPr>
        <w:t>卫生院领导</w:t>
      </w:r>
      <w:r>
        <w:rPr>
          <w:rStyle w:val="16"/>
          <w:rFonts w:hint="eastAsia" w:ascii="仿宋_GB2312" w:hAnsi="宋体" w:eastAsia="仿宋_GB2312"/>
          <w:b w:val="0"/>
          <w:bCs w:val="0"/>
          <w:spacing w:val="-4"/>
          <w:sz w:val="28"/>
          <w:szCs w:val="28"/>
        </w:rPr>
        <w:t>的正确领导下，我</w:t>
      </w:r>
      <w:r>
        <w:rPr>
          <w:rStyle w:val="16"/>
          <w:rFonts w:hint="eastAsia" w:ascii="仿宋_GB2312" w:hAnsi="楷体" w:eastAsia="仿宋_GB2312"/>
          <w:b w:val="0"/>
          <w:spacing w:val="-4"/>
          <w:sz w:val="28"/>
          <w:szCs w:val="28"/>
          <w:lang w:eastAsia="zh-CN"/>
        </w:rPr>
        <w:t>单位</w:t>
      </w:r>
      <w:r>
        <w:rPr>
          <w:rStyle w:val="16"/>
          <w:rFonts w:hint="eastAsia" w:ascii="仿宋_GB2312" w:hAnsi="宋体" w:eastAsia="仿宋_GB2312"/>
          <w:b w:val="0"/>
          <w:bCs w:val="0"/>
          <w:spacing w:val="-4"/>
          <w:sz w:val="28"/>
          <w:szCs w:val="28"/>
        </w:rPr>
        <w:t>迎难而上、务实重干，积极推动各项</w:t>
      </w:r>
      <w:r>
        <w:rPr>
          <w:rStyle w:val="16"/>
          <w:rFonts w:hint="eastAsia" w:ascii="仿宋_GB2312" w:hAnsi="宋体" w:eastAsia="仿宋_GB2312"/>
          <w:b w:val="0"/>
          <w:bCs w:val="0"/>
          <w:spacing w:val="-4"/>
          <w:sz w:val="28"/>
          <w:szCs w:val="28"/>
          <w:lang w:eastAsia="zh-CN"/>
        </w:rPr>
        <w:t>医疗卫生</w:t>
      </w:r>
      <w:r>
        <w:rPr>
          <w:rStyle w:val="16"/>
          <w:rFonts w:hint="eastAsia" w:ascii="仿宋_GB2312" w:hAnsi="宋体" w:eastAsia="仿宋_GB2312"/>
          <w:b w:val="0"/>
          <w:bCs w:val="0"/>
          <w:spacing w:val="-4"/>
          <w:sz w:val="28"/>
          <w:szCs w:val="28"/>
        </w:rPr>
        <w:t>工作取得了新的进展，为促进经济持续健康发展与社会和谐稳定提供了有力的支撑和保障。</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1、基本公共卫生服务工作，完成上级下达的工作指标；</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预防接种中心的设置建设和运行管理，为及时发现、报告并协助处理疑似预防接种异常反应、做好各类疫苗出入库管理工作。</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2、适龄儿童提供免费的国家免疫规划疫苗接种服务任务提前完成</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3、提高全民健康保健意识，有病早治早好，减轻大病负担成效显著。</w:t>
      </w:r>
    </w:p>
    <w:p>
      <w:pPr>
        <w:tabs>
          <w:tab w:val="left" w:pos="312"/>
        </w:tabs>
        <w:spacing w:line="360" w:lineRule="auto"/>
        <w:ind w:firstLine="544" w:firstLineChars="200"/>
        <w:rPr>
          <w:rStyle w:val="16"/>
          <w:rFonts w:hint="eastAsia" w:ascii="仿宋_GB2312" w:hAnsi="宋体" w:eastAsia="仿宋_GB2312" w:cstheme="minorBidi"/>
          <w:b w:val="0"/>
          <w:bCs w:val="0"/>
          <w:spacing w:val="-4"/>
          <w:kern w:val="2"/>
          <w:sz w:val="28"/>
          <w:szCs w:val="28"/>
          <w:lang w:val="en-US" w:eastAsia="zh-CN" w:bidi="ar-SA"/>
        </w:rPr>
      </w:pPr>
      <w:r>
        <w:rPr>
          <w:rStyle w:val="16"/>
          <w:rFonts w:hint="eastAsia" w:ascii="仿宋_GB2312" w:hAnsi="宋体" w:eastAsia="仿宋_GB2312" w:cstheme="minorBidi"/>
          <w:b w:val="0"/>
          <w:bCs w:val="0"/>
          <w:spacing w:val="-4"/>
          <w:kern w:val="2"/>
          <w:sz w:val="28"/>
          <w:szCs w:val="28"/>
          <w:lang w:val="en-US" w:eastAsia="zh-CN" w:bidi="ar-SA"/>
        </w:rPr>
        <w:t>4、加大医疗便民惠民措施的推广力度，改进服务模式，优化服务流程，方便群众就医。进一步规范门诊、病房的管理，使群众真正得到实惠，群众满意度高。</w:t>
      </w:r>
    </w:p>
    <w:p>
      <w:pPr>
        <w:pStyle w:val="4"/>
        <w:spacing w:line="360" w:lineRule="auto"/>
        <w:ind w:firstLine="643" w:firstLineChars="200"/>
        <w:rPr>
          <w:rStyle w:val="16"/>
          <w:rFonts w:ascii="仿宋" w:hAnsi="仿宋" w:eastAsia="仿宋"/>
          <w:b/>
          <w:bCs/>
        </w:rPr>
      </w:pPr>
      <w:bookmarkStart w:id="30" w:name="_Toc70450316"/>
      <w:r>
        <w:rPr>
          <w:rStyle w:val="16"/>
          <w:rFonts w:hint="eastAsia" w:ascii="仿宋" w:hAnsi="仿宋" w:eastAsia="仿宋"/>
          <w:b/>
          <w:bCs/>
        </w:rPr>
        <w:t>（三）有效性评价</w:t>
      </w:r>
      <w:bookmarkEnd w:id="30"/>
    </w:p>
    <w:p>
      <w:pPr>
        <w:spacing w:line="360" w:lineRule="auto"/>
        <w:ind w:firstLine="544" w:firstLineChars="200"/>
        <w:rPr>
          <w:rStyle w:val="16"/>
          <w:rFonts w:hint="eastAsia"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年部门支出的有效性主要体现在我部单位各项工作成效上，一是</w:t>
      </w:r>
      <w:r>
        <w:rPr>
          <w:rStyle w:val="16"/>
          <w:rFonts w:hint="eastAsia" w:ascii="仿宋_GB2312" w:hAnsi="宋体" w:eastAsia="仿宋_GB2312"/>
          <w:b w:val="0"/>
          <w:bCs w:val="0"/>
          <w:color w:val="auto"/>
          <w:spacing w:val="-4"/>
          <w:sz w:val="28"/>
          <w:szCs w:val="28"/>
          <w:lang w:eastAsia="zh-CN"/>
        </w:rPr>
        <w:t>全民体检</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eastAsia="zh-CN"/>
        </w:rPr>
        <w:t>医疗卫生</w:t>
      </w:r>
      <w:r>
        <w:rPr>
          <w:rStyle w:val="16"/>
          <w:rFonts w:hint="eastAsia" w:ascii="仿宋_GB2312" w:hAnsi="宋体" w:eastAsia="仿宋_GB2312"/>
          <w:b w:val="0"/>
          <w:bCs w:val="0"/>
          <w:color w:val="auto"/>
          <w:spacing w:val="-4"/>
          <w:sz w:val="28"/>
          <w:szCs w:val="28"/>
        </w:rPr>
        <w:t>能力进一步提升，三是</w:t>
      </w:r>
      <w:r>
        <w:rPr>
          <w:rStyle w:val="16"/>
          <w:rFonts w:hint="eastAsia" w:ascii="仿宋_GB2312" w:hAnsi="宋体" w:eastAsia="仿宋_GB2312"/>
          <w:b w:val="0"/>
          <w:bCs w:val="0"/>
          <w:color w:val="auto"/>
          <w:spacing w:val="-4"/>
          <w:sz w:val="28"/>
          <w:szCs w:val="28"/>
          <w:lang w:eastAsia="zh-CN"/>
        </w:rPr>
        <w:t>合理处置医疗废物垃圾</w:t>
      </w:r>
      <w:r>
        <w:rPr>
          <w:rStyle w:val="16"/>
          <w:rFonts w:hint="eastAsia" w:ascii="仿宋_GB2312" w:hAnsi="宋体" w:eastAsia="仿宋_GB2312"/>
          <w:b w:val="0"/>
          <w:bCs w:val="0"/>
          <w:color w:val="auto"/>
          <w:spacing w:val="-4"/>
          <w:sz w:val="28"/>
          <w:szCs w:val="28"/>
        </w:rPr>
        <w:t>进一步改善，四是</w:t>
      </w:r>
      <w:r>
        <w:rPr>
          <w:rStyle w:val="16"/>
          <w:rFonts w:hint="eastAsia" w:ascii="仿宋_GB2312" w:hAnsi="宋体" w:eastAsia="仿宋_GB2312"/>
          <w:b w:val="0"/>
          <w:bCs w:val="0"/>
          <w:color w:val="auto"/>
          <w:spacing w:val="-4"/>
          <w:sz w:val="28"/>
          <w:szCs w:val="28"/>
          <w:lang w:eastAsia="zh-CN"/>
        </w:rPr>
        <w:t>提高全系统日常工作效率和质量</w:t>
      </w:r>
      <w:r>
        <w:rPr>
          <w:rStyle w:val="16"/>
          <w:rFonts w:hint="eastAsia" w:ascii="仿宋_GB2312" w:hAnsi="宋体" w:eastAsia="仿宋_GB2312"/>
          <w:b w:val="0"/>
          <w:bCs w:val="0"/>
          <w:color w:val="auto"/>
          <w:spacing w:val="-4"/>
          <w:sz w:val="28"/>
          <w:szCs w:val="28"/>
        </w:rPr>
        <w:t>进一步提高，五是</w:t>
      </w:r>
      <w:r>
        <w:rPr>
          <w:rStyle w:val="16"/>
          <w:rFonts w:hint="eastAsia" w:ascii="仿宋_GB2312" w:hAnsi="宋体" w:eastAsia="仿宋_GB2312"/>
          <w:b w:val="0"/>
          <w:bCs w:val="0"/>
          <w:color w:val="auto"/>
          <w:spacing w:val="-4"/>
          <w:sz w:val="28"/>
          <w:szCs w:val="28"/>
          <w:lang w:eastAsia="zh-CN"/>
        </w:rPr>
        <w:t>全系统医疗工作</w:t>
      </w:r>
      <w:r>
        <w:rPr>
          <w:rStyle w:val="16"/>
          <w:rFonts w:hint="eastAsia" w:ascii="仿宋_GB2312" w:hAnsi="宋体" w:eastAsia="仿宋_GB2312"/>
          <w:b w:val="0"/>
          <w:bCs w:val="0"/>
          <w:color w:val="auto"/>
          <w:spacing w:val="-4"/>
          <w:sz w:val="28"/>
          <w:szCs w:val="28"/>
        </w:rPr>
        <w:t>进一步推进，七是</w:t>
      </w:r>
      <w:r>
        <w:rPr>
          <w:rStyle w:val="16"/>
          <w:rFonts w:hint="eastAsia" w:ascii="仿宋_GB2312" w:hAnsi="宋体" w:eastAsia="仿宋_GB2312"/>
          <w:b w:val="0"/>
          <w:bCs w:val="0"/>
          <w:color w:val="auto"/>
          <w:spacing w:val="-4"/>
          <w:sz w:val="28"/>
          <w:szCs w:val="28"/>
          <w:lang w:eastAsia="zh-CN"/>
        </w:rPr>
        <w:t>医疗服务</w:t>
      </w:r>
      <w:r>
        <w:rPr>
          <w:rStyle w:val="16"/>
          <w:rFonts w:hint="eastAsia" w:ascii="仿宋_GB2312" w:hAnsi="宋体" w:eastAsia="仿宋_GB2312"/>
          <w:b w:val="0"/>
          <w:bCs w:val="0"/>
          <w:color w:val="auto"/>
          <w:spacing w:val="-4"/>
          <w:sz w:val="28"/>
          <w:szCs w:val="28"/>
        </w:rPr>
        <w:t>水平进一步增强，详细情况如下：</w:t>
      </w:r>
    </w:p>
    <w:p>
      <w:pPr>
        <w:spacing w:line="360" w:lineRule="auto"/>
        <w:ind w:firstLine="544" w:firstLineChars="200"/>
        <w:rPr>
          <w:rStyle w:val="16"/>
          <w:rFonts w:hint="eastAsia" w:ascii="仿宋_GB2312" w:hAnsi="宋体" w:eastAsia="仿宋_GB2312"/>
          <w:b w:val="0"/>
          <w:bCs w:val="0"/>
          <w:color w:val="auto"/>
          <w:spacing w:val="-4"/>
          <w:sz w:val="28"/>
          <w:szCs w:val="28"/>
          <w:highlight w:val="none"/>
          <w:lang w:eastAsia="zh-CN"/>
        </w:rPr>
      </w:pPr>
      <w:r>
        <w:rPr>
          <w:rStyle w:val="16"/>
          <w:rFonts w:hint="eastAsia" w:ascii="仿宋_GB2312" w:hAnsi="宋体" w:eastAsia="仿宋_GB2312"/>
          <w:b w:val="0"/>
          <w:bCs w:val="0"/>
          <w:color w:val="auto"/>
          <w:spacing w:val="-4"/>
          <w:sz w:val="28"/>
          <w:szCs w:val="28"/>
          <w:highlight w:val="none"/>
          <w:lang w:eastAsia="zh-CN"/>
        </w:rPr>
        <w:t>特克斯县特克斯镇卫生院</w:t>
      </w:r>
      <w:r>
        <w:rPr>
          <w:rStyle w:val="16"/>
          <w:rFonts w:hint="eastAsia" w:ascii="仿宋_GB2312" w:hAnsi="宋体" w:eastAsia="仿宋_GB2312"/>
          <w:b w:val="0"/>
          <w:bCs w:val="0"/>
          <w:color w:val="auto"/>
          <w:spacing w:val="-4"/>
          <w:sz w:val="28"/>
          <w:szCs w:val="28"/>
          <w:highlight w:val="none"/>
        </w:rPr>
        <w:t xml:space="preserve">整体绩效目标共设置一级指标 </w:t>
      </w:r>
      <w:r>
        <w:rPr>
          <w:rStyle w:val="16"/>
          <w:rFonts w:hint="eastAsia" w:ascii="仿宋_GB2312" w:hAnsi="宋体" w:eastAsia="仿宋_GB2312"/>
          <w:b w:val="0"/>
          <w:bCs w:val="0"/>
          <w:color w:val="auto"/>
          <w:spacing w:val="-4"/>
          <w:sz w:val="28"/>
          <w:szCs w:val="28"/>
          <w:highlight w:val="none"/>
          <w:lang w:val="en-US" w:eastAsia="zh-CN"/>
        </w:rPr>
        <w:t>3</w:t>
      </w:r>
      <w:r>
        <w:rPr>
          <w:rStyle w:val="16"/>
          <w:rFonts w:hint="eastAsia" w:ascii="仿宋_GB2312" w:hAnsi="宋体" w:eastAsia="仿宋_GB2312"/>
          <w:b w:val="0"/>
          <w:bCs w:val="0"/>
          <w:color w:val="auto"/>
          <w:spacing w:val="-4"/>
          <w:sz w:val="28"/>
          <w:szCs w:val="28"/>
          <w:highlight w:val="none"/>
        </w:rPr>
        <w:t xml:space="preserve"> 个，二级指标 </w:t>
      </w:r>
      <w:r>
        <w:rPr>
          <w:rStyle w:val="16"/>
          <w:rFonts w:hint="eastAsia" w:ascii="仿宋_GB2312" w:hAnsi="宋体" w:eastAsia="仿宋_GB2312"/>
          <w:b w:val="0"/>
          <w:bCs w:val="0"/>
          <w:color w:val="auto"/>
          <w:spacing w:val="-4"/>
          <w:sz w:val="28"/>
          <w:szCs w:val="28"/>
          <w:highlight w:val="none"/>
          <w:lang w:val="en-US" w:eastAsia="zh-CN"/>
        </w:rPr>
        <w:t>8</w:t>
      </w:r>
      <w:r>
        <w:rPr>
          <w:rStyle w:val="16"/>
          <w:rFonts w:hint="eastAsia" w:ascii="仿宋_GB2312" w:hAnsi="宋体" w:eastAsia="仿宋_GB2312"/>
          <w:b w:val="0"/>
          <w:bCs w:val="0"/>
          <w:color w:val="auto"/>
          <w:spacing w:val="-4"/>
          <w:sz w:val="28"/>
          <w:szCs w:val="28"/>
          <w:highlight w:val="none"/>
        </w:rPr>
        <w:t xml:space="preserve"> 个，三级指标 </w:t>
      </w:r>
      <w:r>
        <w:rPr>
          <w:rStyle w:val="16"/>
          <w:rFonts w:hint="eastAsia" w:ascii="仿宋_GB2312" w:hAnsi="宋体" w:eastAsia="仿宋_GB2312"/>
          <w:b w:val="0"/>
          <w:bCs w:val="0"/>
          <w:color w:val="auto"/>
          <w:spacing w:val="-4"/>
          <w:sz w:val="28"/>
          <w:szCs w:val="28"/>
          <w:highlight w:val="none"/>
          <w:lang w:val="en-US" w:eastAsia="zh-CN"/>
        </w:rPr>
        <w:t>12</w:t>
      </w:r>
      <w:r>
        <w:rPr>
          <w:rStyle w:val="16"/>
          <w:rFonts w:hint="eastAsia" w:ascii="仿宋_GB2312" w:hAnsi="宋体" w:eastAsia="仿宋_GB2312"/>
          <w:b w:val="0"/>
          <w:bCs w:val="0"/>
          <w:color w:val="auto"/>
          <w:spacing w:val="-4"/>
          <w:sz w:val="28"/>
          <w:szCs w:val="28"/>
          <w:highlight w:val="none"/>
        </w:rPr>
        <w:t xml:space="preserve"> 个，详细说明如下</w:t>
      </w:r>
      <w:r>
        <w:rPr>
          <w:rStyle w:val="16"/>
          <w:rFonts w:hint="eastAsia" w:ascii="仿宋_GB2312" w:hAnsi="宋体" w:eastAsia="仿宋_GB2312"/>
          <w:b w:val="0"/>
          <w:bCs w:val="0"/>
          <w:color w:val="auto"/>
          <w:spacing w:val="-4"/>
          <w:sz w:val="28"/>
          <w:szCs w:val="28"/>
          <w:highlight w:val="none"/>
          <w:lang w:eastAsia="zh-CN"/>
        </w:rPr>
        <w:t>：</w:t>
      </w:r>
    </w:p>
    <w:p>
      <w:pPr>
        <w:snapToGrid w:val="0"/>
        <w:spacing w:line="360" w:lineRule="auto"/>
        <w:ind w:firstLine="544" w:firstLineChars="200"/>
        <w:rPr>
          <w:rStyle w:val="16"/>
          <w:rFonts w:ascii="仿宋_GB2312" w:hAnsi="宋体" w:eastAsia="仿宋_GB2312"/>
          <w:b w:val="0"/>
          <w:spacing w:val="-4"/>
          <w:sz w:val="28"/>
          <w:szCs w:val="28"/>
          <w:highlight w:val="none"/>
        </w:rPr>
      </w:pPr>
      <w:bookmarkStart w:id="31" w:name="_Toc70450317"/>
      <w:r>
        <w:rPr>
          <w:rStyle w:val="16"/>
          <w:rFonts w:ascii="仿宋_GB2312" w:hAnsi="宋体" w:eastAsia="仿宋_GB2312"/>
          <w:b w:val="0"/>
          <w:spacing w:val="-4"/>
          <w:sz w:val="28"/>
          <w:szCs w:val="28"/>
          <w:highlight w:val="none"/>
        </w:rPr>
        <w:t>1</w:t>
      </w:r>
      <w:r>
        <w:rPr>
          <w:rStyle w:val="16"/>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w:t>
      </w:r>
      <w:r>
        <w:rPr>
          <w:rStyle w:val="16"/>
          <w:rFonts w:hint="eastAsia" w:ascii="仿宋_GB2312" w:hAnsi="宋体" w:eastAsia="仿宋_GB2312"/>
          <w:b w:val="0"/>
          <w:spacing w:val="-4"/>
          <w:sz w:val="28"/>
          <w:szCs w:val="28"/>
          <w:highlight w:val="none"/>
          <w:lang w:val="en-US" w:eastAsia="zh-CN"/>
        </w:rPr>
        <w:t>特克斯镇</w:t>
      </w:r>
      <w:r>
        <w:rPr>
          <w:rStyle w:val="16"/>
          <w:rFonts w:hint="eastAsia" w:ascii="仿宋_GB2312" w:hAnsi="宋体" w:eastAsia="仿宋_GB2312"/>
          <w:b w:val="0"/>
          <w:spacing w:val="-4"/>
          <w:sz w:val="28"/>
          <w:szCs w:val="28"/>
          <w:highlight w:val="none"/>
        </w:rPr>
        <w:t>卫生院</w:t>
      </w:r>
      <w:r>
        <w:rPr>
          <w:rStyle w:val="16"/>
          <w:rFonts w:hint="eastAsia" w:ascii="仿宋_GB2312" w:hAnsi="宋体" w:eastAsia="仿宋_GB2312"/>
          <w:b w:val="0"/>
          <w:spacing w:val="-4"/>
          <w:sz w:val="28"/>
          <w:szCs w:val="28"/>
          <w:highlight w:val="none"/>
          <w:lang w:val="en-US" w:eastAsia="zh-CN"/>
        </w:rPr>
        <w:t>在职</w:t>
      </w:r>
      <w:r>
        <w:rPr>
          <w:rStyle w:val="16"/>
          <w:rFonts w:hint="eastAsia" w:ascii="仿宋_GB2312" w:hAnsi="宋体" w:eastAsia="仿宋_GB2312"/>
          <w:b w:val="0"/>
          <w:spacing w:val="-4"/>
          <w:sz w:val="28"/>
          <w:szCs w:val="28"/>
          <w:highlight w:val="none"/>
        </w:rPr>
        <w:t>人数，指标值：</w:t>
      </w:r>
      <w:r>
        <w:rPr>
          <w:rStyle w:val="16"/>
          <w:rFonts w:hint="eastAsia" w:ascii="仿宋_GB2312" w:hAnsi="宋体" w:eastAsia="仿宋_GB2312"/>
          <w:b w:val="0"/>
          <w:spacing w:val="-4"/>
          <w:sz w:val="28"/>
          <w:szCs w:val="28"/>
          <w:highlight w:val="none"/>
          <w:lang w:val="en-US" w:eastAsia="zh-CN"/>
        </w:rPr>
        <w:t>=25人</w:t>
      </w:r>
      <w:r>
        <w:rPr>
          <w:rStyle w:val="16"/>
          <w:rFonts w:hint="eastAsia" w:ascii="仿宋_GB2312" w:hAnsi="宋体" w:eastAsia="仿宋_GB2312"/>
          <w:b w:val="0"/>
          <w:spacing w:val="-4"/>
          <w:sz w:val="28"/>
          <w:szCs w:val="28"/>
          <w:highlight w:val="none"/>
        </w:rPr>
        <w:t xml:space="preserve"> ，实际完成值： </w:t>
      </w:r>
      <w:r>
        <w:rPr>
          <w:rStyle w:val="16"/>
          <w:rFonts w:hint="eastAsia" w:ascii="仿宋_GB2312" w:hAnsi="宋体" w:eastAsia="仿宋_GB2312"/>
          <w:b w:val="0"/>
          <w:spacing w:val="-4"/>
          <w:sz w:val="28"/>
          <w:szCs w:val="28"/>
          <w:highlight w:val="none"/>
          <w:lang w:val="en-US" w:eastAsia="zh-CN"/>
        </w:rPr>
        <w:t>25人</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val="en-US" w:eastAsia="zh-CN"/>
        </w:rPr>
        <w:t>特克斯镇</w:t>
      </w:r>
      <w:r>
        <w:rPr>
          <w:rStyle w:val="16"/>
          <w:rFonts w:hint="eastAsia" w:ascii="仿宋_GB2312" w:hAnsi="宋体" w:eastAsia="仿宋_GB2312"/>
          <w:b w:val="0"/>
          <w:spacing w:val="-4"/>
          <w:sz w:val="28"/>
          <w:szCs w:val="28"/>
          <w:highlight w:val="none"/>
        </w:rPr>
        <w:t>卫生院</w:t>
      </w:r>
      <w:r>
        <w:rPr>
          <w:rStyle w:val="16"/>
          <w:rFonts w:hint="eastAsia" w:ascii="仿宋_GB2312" w:hAnsi="宋体" w:eastAsia="仿宋_GB2312"/>
          <w:b w:val="0"/>
          <w:spacing w:val="-4"/>
          <w:sz w:val="28"/>
          <w:szCs w:val="28"/>
          <w:highlight w:val="none"/>
          <w:lang w:val="en-US" w:eastAsia="zh-CN"/>
        </w:rPr>
        <w:t>退休</w:t>
      </w:r>
      <w:r>
        <w:rPr>
          <w:rStyle w:val="16"/>
          <w:rFonts w:hint="eastAsia" w:ascii="仿宋_GB2312" w:hAnsi="宋体" w:eastAsia="仿宋_GB2312"/>
          <w:b w:val="0"/>
          <w:spacing w:val="-4"/>
          <w:sz w:val="28"/>
          <w:szCs w:val="28"/>
          <w:highlight w:val="none"/>
        </w:rPr>
        <w:t>人数，指标值：</w:t>
      </w:r>
      <w:r>
        <w:rPr>
          <w:rStyle w:val="16"/>
          <w:rFonts w:hint="eastAsia" w:ascii="仿宋_GB2312" w:hAnsi="宋体" w:eastAsia="仿宋_GB2312"/>
          <w:b w:val="0"/>
          <w:spacing w:val="-4"/>
          <w:sz w:val="28"/>
          <w:szCs w:val="28"/>
          <w:highlight w:val="none"/>
          <w:lang w:val="en-US" w:eastAsia="zh-CN"/>
        </w:rPr>
        <w:t>=7人</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7人</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指标1：全系统人员工资及社保正常发放率，指标值：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：慰问退休干部覆盖 ，指标值：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3</w:t>
      </w:r>
      <w:r>
        <w:rPr>
          <w:rStyle w:val="16"/>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指标1：工资及补助发放及时率，指标值：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4</w:t>
      </w:r>
      <w:r>
        <w:rPr>
          <w:rStyle w:val="16"/>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w:t>
      </w:r>
      <w:r>
        <w:rPr>
          <w:rStyle w:val="16"/>
          <w:rFonts w:hint="eastAsia" w:ascii="仿宋_GB2312" w:hAnsi="宋体" w:eastAsia="仿宋_GB2312"/>
          <w:b w:val="0"/>
          <w:spacing w:val="-4"/>
          <w:sz w:val="28"/>
          <w:szCs w:val="28"/>
          <w:highlight w:val="none"/>
          <w:lang w:val="en-US" w:eastAsia="zh-CN"/>
        </w:rPr>
        <w:t>人均</w:t>
      </w:r>
      <w:r>
        <w:rPr>
          <w:rStyle w:val="16"/>
          <w:rFonts w:hint="eastAsia" w:ascii="仿宋_GB2312" w:hAnsi="宋体" w:eastAsia="仿宋_GB2312"/>
          <w:b w:val="0"/>
          <w:spacing w:val="-4"/>
          <w:sz w:val="28"/>
          <w:szCs w:val="28"/>
          <w:highlight w:val="none"/>
        </w:rPr>
        <w:t>工资福利支出</w:t>
      </w: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rPr>
        <w:t>指标值：</w:t>
      </w:r>
      <w:r>
        <w:rPr>
          <w:rStyle w:val="16"/>
          <w:rFonts w:hint="eastAsia" w:ascii="仿宋_GB2312" w:hAnsi="宋体" w:eastAsia="仿宋_GB2312"/>
          <w:b w:val="0"/>
          <w:spacing w:val="-4"/>
          <w:sz w:val="28"/>
          <w:szCs w:val="28"/>
          <w:highlight w:val="none"/>
          <w:lang w:val="en-US" w:eastAsia="zh-CN"/>
        </w:rPr>
        <w:t xml:space="preserve"> =10.99万元/人</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10.99万元/人</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：退休人员人均福利支出 ，指标值：</w:t>
      </w:r>
      <w:r>
        <w:rPr>
          <w:rStyle w:val="16"/>
          <w:rFonts w:hint="eastAsia" w:ascii="仿宋_GB2312" w:hAnsi="宋体" w:eastAsia="仿宋_GB2312"/>
          <w:b w:val="0"/>
          <w:spacing w:val="-4"/>
          <w:sz w:val="28"/>
          <w:szCs w:val="28"/>
          <w:highlight w:val="none"/>
          <w:lang w:val="en-US" w:eastAsia="zh-CN"/>
        </w:rPr>
        <w:t>=0.26万元/人</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0.26万元/人</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5</w:t>
      </w:r>
      <w:r>
        <w:rPr>
          <w:rStyle w:val="16"/>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指标1：提高全系统日常工作效率和质量 ，指标值：</w:t>
      </w:r>
      <w:r>
        <w:rPr>
          <w:rStyle w:val="16"/>
          <w:rFonts w:hint="eastAsia" w:ascii="仿宋_GB2312" w:hAnsi="宋体" w:eastAsia="仿宋_GB2312"/>
          <w:b w:val="0"/>
          <w:spacing w:val="-4"/>
          <w:sz w:val="28"/>
          <w:szCs w:val="28"/>
          <w:highlight w:val="none"/>
          <w:lang w:eastAsia="zh-CN"/>
        </w:rPr>
        <w:t>有效提高</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eastAsia="zh-CN"/>
        </w:rPr>
        <w:t>有效提高</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6</w:t>
      </w:r>
      <w:r>
        <w:rPr>
          <w:rStyle w:val="16"/>
          <w:rFonts w:hint="eastAsia" w:ascii="仿宋_GB2312" w:hAnsi="宋体" w:eastAsia="仿宋_GB2312"/>
          <w:b w:val="0"/>
          <w:spacing w:val="-4"/>
          <w:sz w:val="28"/>
          <w:szCs w:val="28"/>
          <w:highlight w:val="none"/>
        </w:rPr>
        <w:t>、生态效益指标：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 xml:space="preserve">指标1：合理处置医疗废物垃圾 ，指标值： </w:t>
      </w:r>
      <w:r>
        <w:rPr>
          <w:rStyle w:val="16"/>
          <w:rFonts w:hint="eastAsia" w:ascii="仿宋_GB2312" w:hAnsi="宋体" w:eastAsia="仿宋_GB2312"/>
          <w:b w:val="0"/>
          <w:spacing w:val="-4"/>
          <w:sz w:val="28"/>
          <w:szCs w:val="28"/>
          <w:highlight w:val="none"/>
          <w:lang w:eastAsia="zh-CN"/>
        </w:rPr>
        <w:t>处置合理</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eastAsia="zh-CN"/>
        </w:rPr>
        <w:t>处置合理</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7</w:t>
      </w:r>
      <w:r>
        <w:rPr>
          <w:rStyle w:val="16"/>
          <w:rFonts w:hint="eastAsia" w:ascii="仿宋_GB2312" w:hAnsi="宋体" w:eastAsia="仿宋_GB2312"/>
          <w:b w:val="0"/>
          <w:spacing w:val="-4"/>
          <w:sz w:val="28"/>
          <w:szCs w:val="28"/>
          <w:highlight w:val="none"/>
        </w:rPr>
        <w:t>、可持续影响指标：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指标1：居民健康水平提高 ，指标值：</w:t>
      </w:r>
      <w:r>
        <w:rPr>
          <w:rStyle w:val="16"/>
          <w:rFonts w:hint="eastAsia" w:ascii="仿宋_GB2312" w:hAnsi="宋体" w:eastAsia="仿宋_GB2312"/>
          <w:b w:val="0"/>
          <w:spacing w:val="-4"/>
          <w:sz w:val="28"/>
          <w:szCs w:val="28"/>
          <w:highlight w:val="none"/>
          <w:lang w:eastAsia="zh-CN"/>
        </w:rPr>
        <w:t>有效提高</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eastAsia="zh-CN"/>
        </w:rPr>
        <w:t>有效提高</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8</w:t>
      </w:r>
      <w:r>
        <w:rPr>
          <w:rStyle w:val="16"/>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w:t>
      </w:r>
      <w:r>
        <w:rPr>
          <w:rStyle w:val="16"/>
          <w:rFonts w:hint="eastAsia" w:ascii="仿宋_GB2312" w:hAnsi="宋体" w:eastAsia="仿宋_GB2312"/>
          <w:b w:val="0"/>
          <w:spacing w:val="-4"/>
          <w:sz w:val="28"/>
          <w:szCs w:val="28"/>
          <w:highlight w:val="none"/>
          <w:lang w:eastAsia="zh-CN"/>
        </w:rPr>
        <w:t>患者满意度</w:t>
      </w:r>
      <w:r>
        <w:rPr>
          <w:rStyle w:val="16"/>
          <w:rFonts w:hint="eastAsia" w:ascii="仿宋_GB2312" w:hAnsi="宋体" w:eastAsia="仿宋_GB2312"/>
          <w:b w:val="0"/>
          <w:spacing w:val="-4"/>
          <w:sz w:val="28"/>
          <w:szCs w:val="28"/>
          <w:highlight w:val="none"/>
        </w:rPr>
        <w:t>，指标值：</w:t>
      </w:r>
      <w:r>
        <w:rPr>
          <w:rStyle w:val="16"/>
          <w:rFonts w:hint="eastAsia" w:ascii="宋体" w:hAnsi="宋体" w:eastAsia="宋体" w:cs="宋体"/>
          <w:b w:val="0"/>
          <w:spacing w:val="-4"/>
          <w:sz w:val="28"/>
          <w:szCs w:val="28"/>
          <w:highlight w:val="none"/>
        </w:rPr>
        <w:t>≧</w:t>
      </w:r>
      <w:r>
        <w:rPr>
          <w:rStyle w:val="16"/>
          <w:rFonts w:hint="eastAsia" w:ascii="仿宋_GB2312" w:hAnsi="宋体" w:eastAsia="仿宋_GB2312"/>
          <w:b w:val="0"/>
          <w:spacing w:val="-4"/>
          <w:sz w:val="28"/>
          <w:szCs w:val="28"/>
          <w:highlight w:val="none"/>
          <w:lang w:val="en-US" w:eastAsia="zh-CN"/>
        </w:rPr>
        <w:t>94%</w:t>
      </w:r>
      <w:r>
        <w:rPr>
          <w:rStyle w:val="16"/>
          <w:rFonts w:hint="eastAsia" w:ascii="仿宋_GB2312" w:hAnsi="宋体" w:eastAsia="仿宋_GB2312"/>
          <w:b w:val="0"/>
          <w:spacing w:val="-4"/>
          <w:sz w:val="28"/>
          <w:szCs w:val="28"/>
          <w:highlight w:val="none"/>
        </w:rPr>
        <w:t xml:space="preserve"> ，实际完成值：</w:t>
      </w:r>
      <w:r>
        <w:rPr>
          <w:rStyle w:val="16"/>
          <w:rFonts w:hint="eastAsia" w:ascii="仿宋_GB2312" w:hAnsi="宋体" w:eastAsia="仿宋_GB2312"/>
          <w:b w:val="0"/>
          <w:spacing w:val="-4"/>
          <w:sz w:val="28"/>
          <w:szCs w:val="28"/>
          <w:highlight w:val="none"/>
          <w:lang w:val="en-US" w:eastAsia="zh-CN"/>
        </w:rPr>
        <w:t>94</w:t>
      </w:r>
      <w:r>
        <w:rPr>
          <w:rStyle w:val="16"/>
          <w:rFonts w:hint="eastAsia" w:ascii="仿宋_GB2312" w:hAnsi="宋体" w:eastAsia="仿宋_GB2312"/>
          <w:b w:val="0"/>
          <w:spacing w:val="-4"/>
          <w:sz w:val="28"/>
          <w:szCs w:val="28"/>
          <w:highlight w:val="none"/>
        </w:rPr>
        <w:t xml:space="preserve"> </w:t>
      </w:r>
      <w:r>
        <w:rPr>
          <w:rStyle w:val="16"/>
          <w:rFonts w:hint="eastAsia" w:ascii="仿宋_GB2312" w:hAnsi="宋体" w:eastAsia="仿宋_GB2312"/>
          <w:b w:val="0"/>
          <w:spacing w:val="-4"/>
          <w:sz w:val="28"/>
          <w:szCs w:val="28"/>
          <w:highlight w:val="none"/>
          <w:lang w:val="en-US" w:eastAsia="zh-CN"/>
        </w:rPr>
        <w:t>%</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lang w:eastAsia="zh-CN"/>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干部职工满意度</w:t>
      </w:r>
      <w:r>
        <w:rPr>
          <w:rStyle w:val="16"/>
          <w:rFonts w:hint="eastAsia" w:ascii="仿宋_GB2312" w:hAnsi="宋体" w:eastAsia="仿宋_GB2312"/>
          <w:b w:val="0"/>
          <w:spacing w:val="-4"/>
          <w:sz w:val="28"/>
          <w:szCs w:val="28"/>
          <w:highlight w:val="none"/>
        </w:rPr>
        <w:t>，指标值：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，实际完成值：</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 xml:space="preserve">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w:t>
      </w:r>
    </w:p>
    <w:p>
      <w:pPr>
        <w:pStyle w:val="12"/>
        <w:widowControl/>
        <w:numPr>
          <w:ilvl w:val="0"/>
          <w:numId w:val="0"/>
        </w:numPr>
        <w:spacing w:before="40" w:beforeAutospacing="0" w:after="0" w:afterAutospacing="0" w:line="520" w:lineRule="atLeast"/>
        <w:jc w:val="both"/>
        <w:rPr>
          <w:rFonts w:hint="eastAsia" w:ascii="仿宋" w:hAnsi="仿宋" w:eastAsia="仿宋"/>
          <w:b/>
          <w:bCs/>
          <w:sz w:val="36"/>
          <w:szCs w:val="36"/>
          <w:lang w:bidi="ar"/>
        </w:rPr>
      </w:pPr>
      <w:r>
        <w:rPr>
          <w:rFonts w:hint="eastAsia" w:ascii="仿宋" w:hAnsi="仿宋" w:eastAsia="仿宋"/>
          <w:b/>
          <w:bCs/>
          <w:sz w:val="36"/>
          <w:szCs w:val="36"/>
          <w:lang w:eastAsia="zh-CN" w:bidi="ar"/>
        </w:rPr>
        <w:t>六、</w:t>
      </w:r>
      <w:r>
        <w:rPr>
          <w:rFonts w:hint="eastAsia" w:ascii="仿宋" w:hAnsi="仿宋" w:eastAsia="仿宋"/>
          <w:b/>
          <w:bCs/>
          <w:sz w:val="36"/>
          <w:szCs w:val="36"/>
          <w:lang w:bidi="ar"/>
        </w:rPr>
        <w:t>存在的主要问题</w:t>
      </w:r>
      <w:bookmarkEnd w:id="31"/>
    </w:p>
    <w:p>
      <w:pPr>
        <w:pStyle w:val="12"/>
        <w:widowControl/>
        <w:numPr>
          <w:ilvl w:val="0"/>
          <w:numId w:val="0"/>
        </w:numPr>
        <w:spacing w:before="40" w:beforeAutospacing="0" w:after="0" w:afterAutospacing="0" w:line="520" w:lineRule="atLeast"/>
        <w:ind w:firstLine="816" w:firstLineChars="3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(一)预算执行存在偏差</w:t>
      </w:r>
    </w:p>
    <w:p>
      <w:pPr>
        <w:pStyle w:val="12"/>
        <w:widowControl/>
        <w:spacing w:before="40" w:beforeAutospacing="0" w:after="0" w:afterAutospacing="0" w:line="520" w:lineRule="atLeast"/>
        <w:ind w:firstLine="52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29"/>
        <w:numPr>
          <w:ilvl w:val="0"/>
          <w:numId w:val="3"/>
        </w:numPr>
        <w:spacing w:line="560" w:lineRule="exact"/>
        <w:ind w:firstLine="530" w:firstLineChars="195"/>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项目细化管理工作不足。</w:t>
      </w:r>
    </w:p>
    <w:p>
      <w:pPr>
        <w:pStyle w:val="29"/>
        <w:spacing w:line="560" w:lineRule="exact"/>
        <w:ind w:firstLine="544" w:firstLineChars="200"/>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三）预算绩效管理水平仍有欠缺。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（四）固定资产管理水平有待提高</w:t>
      </w:r>
    </w:p>
    <w:p>
      <w:pPr>
        <w:pStyle w:val="12"/>
        <w:widowControl/>
        <w:spacing w:before="40" w:beforeAutospacing="0" w:after="0" w:afterAutospacing="0" w:line="520" w:lineRule="atLeast"/>
        <w:ind w:firstLine="272" w:firstLineChars="1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32" w:name="_Toc70450318"/>
      <w:r>
        <w:rPr>
          <w:rFonts w:hint="eastAsia" w:ascii="仿宋" w:hAnsi="仿宋" w:eastAsia="仿宋"/>
          <w:sz w:val="36"/>
          <w:szCs w:val="36"/>
          <w:lang w:bidi="ar"/>
        </w:rPr>
        <w:t>七、改进措施和建议</w:t>
      </w:r>
      <w:bookmarkEnd w:id="32"/>
    </w:p>
    <w:p>
      <w:pPr>
        <w:pStyle w:val="4"/>
        <w:spacing w:line="360" w:lineRule="auto"/>
        <w:rPr>
          <w:rStyle w:val="16"/>
          <w:rFonts w:hint="eastAsia" w:ascii="仿宋" w:hAnsi="仿宋" w:eastAsia="仿宋"/>
          <w:b/>
          <w:bCs/>
          <w:sz w:val="32"/>
          <w:szCs w:val="32"/>
        </w:rPr>
      </w:pPr>
      <w:bookmarkStart w:id="33" w:name="_Toc70450319"/>
      <w:r>
        <w:rPr>
          <w:rStyle w:val="16"/>
          <w:rFonts w:hint="eastAsia" w:ascii="仿宋" w:hAnsi="仿宋" w:eastAsia="仿宋"/>
          <w:b/>
          <w:bCs/>
          <w:sz w:val="32"/>
          <w:szCs w:val="32"/>
          <w:lang w:eastAsia="zh-CN"/>
        </w:rPr>
        <w:t>（一）</w:t>
      </w:r>
      <w:r>
        <w:rPr>
          <w:rStyle w:val="16"/>
          <w:rFonts w:hint="eastAsia" w:ascii="仿宋" w:hAnsi="仿宋" w:eastAsia="仿宋"/>
          <w:b/>
          <w:bCs/>
          <w:sz w:val="32"/>
          <w:szCs w:val="32"/>
        </w:rPr>
        <w:t>改进措施</w:t>
      </w:r>
      <w:bookmarkEnd w:id="33"/>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 xml:space="preserve">加强新行政单位会计制度和新预算法学习培训、规范账务处理，加强新《预算法》、《行政单位会计制度》 、《会计法》 、《行政单位财务规则》等学习培训,规范部门预算收支核算。 </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一是制定和完善基本支出、项目支出等各项支出标准,严格按项目进度执行预算, 增强预算的约束力和严肃性。</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二是落实预算执行分析,及时了解预算执行差异,合理调整、纠正预算执行偏差，切实提高部门预算收支管理水平。尽可能地做到决算与预算相衔接。</w:t>
      </w:r>
      <w:bookmarkStart w:id="34" w:name="_Toc70450320"/>
    </w:p>
    <w:p>
      <w:pPr>
        <w:pStyle w:val="12"/>
        <w:widowControl/>
        <w:numPr>
          <w:ilvl w:val="0"/>
          <w:numId w:val="3"/>
        </w:numPr>
        <w:spacing w:before="40" w:beforeAutospacing="0" w:after="0" w:afterAutospacing="0" w:line="520" w:lineRule="atLeast"/>
        <w:ind w:left="0" w:leftChars="0" w:firstLine="626" w:firstLineChars="195"/>
        <w:jc w:val="both"/>
        <w:rPr>
          <w:rStyle w:val="16"/>
          <w:rFonts w:hint="eastAsia" w:ascii="仿宋" w:hAnsi="仿宋" w:eastAsia="仿宋"/>
          <w:b/>
          <w:bCs/>
          <w:sz w:val="32"/>
          <w:szCs w:val="32"/>
        </w:rPr>
      </w:pPr>
      <w:r>
        <w:rPr>
          <w:rStyle w:val="16"/>
          <w:rFonts w:hint="eastAsia" w:ascii="仿宋" w:hAnsi="仿宋" w:eastAsia="仿宋"/>
          <w:b/>
          <w:bCs/>
          <w:sz w:val="32"/>
          <w:szCs w:val="32"/>
        </w:rPr>
        <w:t>建议</w:t>
      </w:r>
      <w:bookmarkEnd w:id="34"/>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1、完善管理制度,进-步加强资产管理。严格按照《固定资产管理办法》的规定，加强固定资产管理,及时登记、更新台账，加强资产卡片管理,对各类实物资产进行全面盘点,确保账账、账实相符。</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2、加强学习。进一步明确如何参照考核体系，科学合理设定绩效目标，充分发挥预算绩效管理工作效用。</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3、财务上，会计核算要更加详细，为本单位各项工作的开展、总结、评估提供有效数据资料支撑,为各项业务工作更好的开展提供帮助。</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4、从源头上强化对专项资金预算管理。实行专项资金预算管理，结合单位实际, 按轻重缓急统筹安排编制预算,提高预算编制科学性和合理性,优化资金结构。</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5、按时间进度分解资金使用计划。专项资金的使用，要事前做计划，事中进行控制，事后总结提高。合理安排资金使用,充分体现资金投向的目标和效益。</w:t>
      </w:r>
    </w:p>
    <w:p>
      <w:pPr>
        <w:pStyle w:val="12"/>
        <w:widowControl/>
        <w:numPr>
          <w:ilvl w:val="0"/>
          <w:numId w:val="0"/>
        </w:numPr>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6、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bookmarkStart w:id="35"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6" w:name="_Hlk70450148"/>
      <w:r>
        <w:rPr>
          <w:rStyle w:val="16"/>
          <w:rFonts w:hint="eastAsia" w:ascii="仿宋" w:hAnsi="仿宋" w:eastAsia="仿宋"/>
          <w:b/>
          <w:bCs/>
          <w:sz w:val="36"/>
          <w:szCs w:val="36"/>
        </w:rPr>
        <w:t>《部门整体支出绩效目标自评表》</w:t>
      </w:r>
      <w:bookmarkEnd w:id="35"/>
      <w:bookmarkEnd w:id="36"/>
    </w:p>
    <w:p>
      <w:r>
        <w:br w:type="page"/>
      </w:r>
    </w:p>
    <w:tbl>
      <w:tblPr>
        <w:tblStyle w:val="14"/>
        <w:tblW w:w="7907" w:type="dxa"/>
        <w:tblInd w:w="93" w:type="dxa"/>
        <w:tblLayout w:type="fixed"/>
        <w:tblCellMar>
          <w:top w:w="0" w:type="dxa"/>
          <w:left w:w="108" w:type="dxa"/>
          <w:bottom w:w="0" w:type="dxa"/>
          <w:right w:w="108" w:type="dxa"/>
        </w:tblCellMar>
      </w:tblPr>
      <w:tblGrid>
        <w:gridCol w:w="545"/>
        <w:gridCol w:w="736"/>
        <w:gridCol w:w="223"/>
        <w:gridCol w:w="741"/>
        <w:gridCol w:w="802"/>
        <w:gridCol w:w="135"/>
        <w:gridCol w:w="840"/>
        <w:gridCol w:w="465"/>
        <w:gridCol w:w="1264"/>
        <w:gridCol w:w="1255"/>
        <w:gridCol w:w="901"/>
      </w:tblGrid>
      <w:tr>
        <w:tblPrEx>
          <w:tblCellMar>
            <w:top w:w="0" w:type="dxa"/>
            <w:left w:w="108" w:type="dxa"/>
            <w:bottom w:w="0" w:type="dxa"/>
            <w:right w:w="108" w:type="dxa"/>
          </w:tblCellMar>
        </w:tblPrEx>
        <w:trPr>
          <w:trHeight w:val="405" w:hRule="atLeast"/>
        </w:trPr>
        <w:tc>
          <w:tcPr>
            <w:tcW w:w="7907" w:type="dxa"/>
            <w:gridSpan w:val="11"/>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rPr>
            </w:pPr>
          </w:p>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trHeight w:val="285" w:hRule="atLeast"/>
        </w:trPr>
        <w:tc>
          <w:tcPr>
            <w:tcW w:w="7907" w:type="dxa"/>
            <w:gridSpan w:val="11"/>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ascii="Times New Roman" w:hAnsi="Times New Roman" w:eastAsia="宋体" w:cs="Times New Roman"/>
                <w:kern w:val="0"/>
                <w:sz w:val="24"/>
              </w:rPr>
              <w:t xml:space="preserve">   </w:t>
            </w:r>
            <w:r>
              <w:rPr>
                <w:rFonts w:hint="eastAsia" w:ascii="Times New Roman" w:hAnsi="Times New Roman" w:eastAsia="宋体" w:cs="Times New Roman"/>
                <w:kern w:val="0"/>
                <w:sz w:val="24"/>
                <w:lang w:val="en-US" w:eastAsia="zh-CN"/>
              </w:rPr>
              <w:t>2021</w:t>
            </w:r>
            <w:r>
              <w:rPr>
                <w:rFonts w:hint="eastAsia" w:ascii="宋体" w:hAnsi="宋体" w:eastAsia="宋体" w:cs="宋体"/>
                <w:kern w:val="0"/>
                <w:sz w:val="24"/>
              </w:rPr>
              <w:t>年度）</w:t>
            </w:r>
          </w:p>
        </w:tc>
      </w:tr>
      <w:tr>
        <w:tblPrEx>
          <w:tblCellMar>
            <w:top w:w="0" w:type="dxa"/>
            <w:left w:w="108" w:type="dxa"/>
            <w:bottom w:w="0" w:type="dxa"/>
            <w:right w:w="108" w:type="dxa"/>
          </w:tblCellMar>
        </w:tblPrEx>
        <w:trPr>
          <w:trHeight w:val="285" w:hRule="atLeast"/>
        </w:trPr>
        <w:tc>
          <w:tcPr>
            <w:tcW w:w="54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3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23"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41"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37"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840"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46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264"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25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901"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trHeight w:val="285" w:hRule="atLeast"/>
        </w:trPr>
        <w:tc>
          <w:tcPr>
            <w:tcW w:w="1504"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部门名称</w:t>
            </w:r>
          </w:p>
        </w:tc>
        <w:tc>
          <w:tcPr>
            <w:tcW w:w="6403"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lang w:eastAsia="zh-CN"/>
              </w:rPr>
              <w:t>特克斯县特克斯镇卫生院</w:t>
            </w:r>
            <w:r>
              <w:rPr>
                <w:rFonts w:hint="eastAsia" w:ascii="宋体" w:hAnsi="宋体" w:eastAsia="宋体" w:cs="宋体"/>
                <w:kern w:val="0"/>
                <w:sz w:val="24"/>
                <w:highlight w:val="none"/>
              </w:rPr>
              <w:t>　</w:t>
            </w:r>
          </w:p>
        </w:tc>
      </w:tr>
      <w:tr>
        <w:tblPrEx>
          <w:tblCellMar>
            <w:top w:w="0" w:type="dxa"/>
            <w:left w:w="108" w:type="dxa"/>
            <w:bottom w:w="0" w:type="dxa"/>
            <w:right w:w="108" w:type="dxa"/>
          </w:tblCellMar>
        </w:tblPrEx>
        <w:trPr>
          <w:trHeight w:val="2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年度</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主要</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任务</w:t>
            </w:r>
          </w:p>
        </w:tc>
        <w:tc>
          <w:tcPr>
            <w:tcW w:w="959"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任务名称</w:t>
            </w:r>
          </w:p>
        </w:tc>
        <w:tc>
          <w:tcPr>
            <w:tcW w:w="7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主要内容</w:t>
            </w:r>
          </w:p>
        </w:tc>
        <w:tc>
          <w:tcPr>
            <w:tcW w:w="2242"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预算金额（万元）</w:t>
            </w:r>
          </w:p>
        </w:tc>
        <w:tc>
          <w:tcPr>
            <w:tcW w:w="3420"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rPr>
              <w:t>实际执行（万元）</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5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highlight w:val="none"/>
              </w:rPr>
            </w:pPr>
          </w:p>
        </w:tc>
        <w:tc>
          <w:tcPr>
            <w:tcW w:w="74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80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总额</w:t>
            </w:r>
          </w:p>
        </w:tc>
        <w:tc>
          <w:tcPr>
            <w:tcW w:w="9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财政拨款</w:t>
            </w:r>
          </w:p>
        </w:tc>
        <w:tc>
          <w:tcPr>
            <w:tcW w:w="46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其他资金</w:t>
            </w:r>
          </w:p>
        </w:tc>
        <w:tc>
          <w:tcPr>
            <w:tcW w:w="12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总额</w:t>
            </w:r>
          </w:p>
        </w:tc>
        <w:tc>
          <w:tcPr>
            <w:tcW w:w="12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财政拨款</w:t>
            </w:r>
          </w:p>
        </w:tc>
        <w:tc>
          <w:tcPr>
            <w:tcW w:w="9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其他资金</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5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i w:val="0"/>
                <w:iCs w:val="0"/>
                <w:color w:val="000000"/>
                <w:kern w:val="0"/>
                <w:sz w:val="18"/>
                <w:szCs w:val="18"/>
                <w:highlight w:val="none"/>
                <w:u w:val="none"/>
                <w:lang w:val="en-US" w:eastAsia="zh-CN" w:bidi="ar"/>
              </w:rPr>
              <w:t>人员经费</w:t>
            </w:r>
          </w:p>
        </w:tc>
        <w:tc>
          <w:tcPr>
            <w:tcW w:w="741"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r>
              <w:rPr>
                <w:rFonts w:hint="eastAsia" w:ascii="宋体" w:hAnsi="宋体" w:eastAsia="宋体" w:cs="宋体"/>
                <w:i w:val="0"/>
                <w:iCs w:val="0"/>
                <w:color w:val="000000"/>
                <w:kern w:val="0"/>
                <w:sz w:val="18"/>
                <w:szCs w:val="18"/>
                <w:highlight w:val="none"/>
                <w:u w:val="none"/>
                <w:lang w:val="en-US" w:eastAsia="zh-CN" w:bidi="ar"/>
              </w:rPr>
              <w:t>工资福利支出</w:t>
            </w:r>
          </w:p>
        </w:tc>
        <w:tc>
          <w:tcPr>
            <w:tcW w:w="937" w:type="dxa"/>
            <w:gridSpan w:val="2"/>
            <w:tcBorders>
              <w:top w:val="nil"/>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276.5</w:t>
            </w:r>
          </w:p>
        </w:tc>
        <w:tc>
          <w:tcPr>
            <w:tcW w:w="840"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276.5</w:t>
            </w:r>
          </w:p>
        </w:tc>
        <w:tc>
          <w:tcPr>
            <w:tcW w:w="46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0</w:t>
            </w:r>
            <w:r>
              <w:rPr>
                <w:rFonts w:hint="eastAsia" w:ascii="宋体" w:hAnsi="宋体" w:eastAsia="宋体" w:cs="宋体"/>
                <w:kern w:val="0"/>
                <w:sz w:val="24"/>
                <w:highlight w:val="none"/>
              </w:rPr>
              <w:t>　</w:t>
            </w:r>
          </w:p>
        </w:tc>
        <w:tc>
          <w:tcPr>
            <w:tcW w:w="1264"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276.5</w:t>
            </w:r>
          </w:p>
        </w:tc>
        <w:tc>
          <w:tcPr>
            <w:tcW w:w="1255"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276.5</w:t>
            </w:r>
          </w:p>
        </w:tc>
        <w:tc>
          <w:tcPr>
            <w:tcW w:w="90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1700"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金额合计</w:t>
            </w:r>
          </w:p>
        </w:tc>
        <w:tc>
          <w:tcPr>
            <w:tcW w:w="93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p>
        </w:tc>
        <w:tc>
          <w:tcPr>
            <w:tcW w:w="840"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276.5</w:t>
            </w:r>
          </w:p>
        </w:tc>
        <w:tc>
          <w:tcPr>
            <w:tcW w:w="46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0</w:t>
            </w:r>
            <w:r>
              <w:rPr>
                <w:rFonts w:hint="eastAsia" w:ascii="宋体" w:hAnsi="宋体" w:eastAsia="宋体" w:cs="宋体"/>
                <w:kern w:val="0"/>
                <w:sz w:val="24"/>
                <w:highlight w:val="none"/>
              </w:rPr>
              <w:t>　</w:t>
            </w:r>
          </w:p>
        </w:tc>
        <w:tc>
          <w:tcPr>
            <w:tcW w:w="1264"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rPr>
              <w:t>　</w:t>
            </w:r>
            <w:r>
              <w:rPr>
                <w:rFonts w:hint="eastAsia" w:ascii="宋体" w:hAnsi="宋体" w:eastAsia="宋体" w:cs="宋体"/>
                <w:kern w:val="0"/>
                <w:sz w:val="24"/>
                <w:highlight w:val="none"/>
                <w:lang w:val="en-US" w:eastAsia="zh-CN"/>
              </w:rPr>
              <w:t>276.5</w:t>
            </w:r>
          </w:p>
        </w:tc>
        <w:tc>
          <w:tcPr>
            <w:tcW w:w="125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rPr>
              <w:t>　</w:t>
            </w:r>
            <w:r>
              <w:rPr>
                <w:rFonts w:hint="eastAsia" w:ascii="宋体" w:hAnsi="宋体" w:eastAsia="宋体" w:cs="宋体"/>
                <w:color w:val="000000"/>
                <w:kern w:val="0"/>
                <w:sz w:val="22"/>
                <w:szCs w:val="22"/>
                <w:highlight w:val="none"/>
                <w:lang w:val="en-US" w:eastAsia="zh-CN"/>
              </w:rPr>
              <w:t>276.5</w:t>
            </w:r>
          </w:p>
        </w:tc>
        <w:tc>
          <w:tcPr>
            <w:tcW w:w="90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rPr>
              <w:t>　</w:t>
            </w:r>
            <w:r>
              <w:rPr>
                <w:rFonts w:hint="eastAsia" w:ascii="宋体" w:hAnsi="宋体" w:eastAsia="宋体" w:cs="宋体"/>
                <w:color w:val="000000"/>
                <w:kern w:val="0"/>
                <w:sz w:val="22"/>
                <w:szCs w:val="22"/>
                <w:highlight w:val="none"/>
                <w:lang w:val="en-US" w:eastAsia="zh-CN"/>
              </w:rPr>
              <w:t>0</w:t>
            </w:r>
          </w:p>
        </w:tc>
      </w:tr>
      <w:tr>
        <w:tblPrEx>
          <w:tblCellMar>
            <w:top w:w="0" w:type="dxa"/>
            <w:left w:w="108" w:type="dxa"/>
            <w:bottom w:w="0" w:type="dxa"/>
            <w:right w:w="108" w:type="dxa"/>
          </w:tblCellMar>
        </w:tblPrEx>
        <w:trPr>
          <w:trHeight w:val="285"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　</w:t>
            </w:r>
          </w:p>
        </w:tc>
        <w:tc>
          <w:tcPr>
            <w:tcW w:w="2637" w:type="dxa"/>
            <w:gridSpan w:val="5"/>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预期目标</w:t>
            </w:r>
          </w:p>
        </w:tc>
        <w:tc>
          <w:tcPr>
            <w:tcW w:w="4725"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实际完成目标</w:t>
            </w:r>
          </w:p>
        </w:tc>
      </w:tr>
      <w:tr>
        <w:tblPrEx>
          <w:tblCellMar>
            <w:top w:w="0" w:type="dxa"/>
            <w:left w:w="108" w:type="dxa"/>
            <w:bottom w:w="0" w:type="dxa"/>
            <w:right w:w="108" w:type="dxa"/>
          </w:tblCellMar>
        </w:tblPrEx>
        <w:trPr>
          <w:trHeight w:val="2070" w:hRule="atLeast"/>
        </w:trPr>
        <w:tc>
          <w:tcPr>
            <w:tcW w:w="54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年度</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总体</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目标</w:t>
            </w:r>
          </w:p>
        </w:tc>
        <w:tc>
          <w:tcPr>
            <w:tcW w:w="2637" w:type="dxa"/>
            <w:gridSpan w:val="5"/>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eastAsia="宋体" w:cs="宋体"/>
                <w:kern w:val="0"/>
                <w:sz w:val="24"/>
                <w:highlight w:val="none"/>
              </w:rPr>
            </w:pPr>
            <w:r>
              <w:rPr>
                <w:rFonts w:hint="eastAsia" w:ascii="宋体" w:hAnsi="宋体" w:eastAsia="宋体" w:cs="宋体"/>
                <w:kern w:val="0"/>
                <w:sz w:val="24"/>
                <w:highlight w:val="none"/>
              </w:rPr>
              <w:t xml:space="preserve">目标1.为人民健康医疗与预防保健服务，常见病多发病的治疗和护理；预防保健。      </w:t>
            </w:r>
          </w:p>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目标2.保持医疗业务稳定增长。                                              目标3.提高医疗服务质量。完善医疗管理各项制度，规范医疗行为，确保医疗安全，提高        医疗质量，让患者满意。</w:t>
            </w:r>
          </w:p>
        </w:tc>
        <w:tc>
          <w:tcPr>
            <w:tcW w:w="4725"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目标1.为人民健康医疗与预防保健服务，常见病多发病的治疗和护理；预防保健。      目标2.保持医疗业务稳定增长。                                              目标3.提高医疗服务质量。完善医疗管理各项制度，规范医疗行为，确保医疗安全，提高 医疗质量，让患者满意。</w:t>
            </w:r>
          </w:p>
        </w:tc>
      </w:tr>
      <w:tr>
        <w:tblPrEx>
          <w:tblCellMar>
            <w:top w:w="0" w:type="dxa"/>
            <w:left w:w="108" w:type="dxa"/>
            <w:bottom w:w="0" w:type="dxa"/>
            <w:right w:w="108" w:type="dxa"/>
          </w:tblCellMar>
        </w:tblPrEx>
        <w:trPr>
          <w:trHeight w:val="885" w:hRule="atLeast"/>
        </w:trPr>
        <w:tc>
          <w:tcPr>
            <w:tcW w:w="54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年</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度</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绩</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效</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指</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标</w:t>
            </w:r>
          </w:p>
        </w:tc>
        <w:tc>
          <w:tcPr>
            <w:tcW w:w="7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一级指标</w:t>
            </w:r>
          </w:p>
        </w:tc>
        <w:tc>
          <w:tcPr>
            <w:tcW w:w="9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二级指标</w:t>
            </w:r>
          </w:p>
        </w:tc>
        <w:tc>
          <w:tcPr>
            <w:tcW w:w="177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三级指标</w:t>
            </w:r>
          </w:p>
        </w:tc>
        <w:tc>
          <w:tcPr>
            <w:tcW w:w="172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预期指标值（包含数字及文字描述）</w:t>
            </w:r>
          </w:p>
        </w:tc>
        <w:tc>
          <w:tcPr>
            <w:tcW w:w="215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实际完成指标值（包含数字及文字描述）</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完成指标</w:t>
            </w: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数量指标</w:t>
            </w:r>
          </w:p>
        </w:tc>
        <w:tc>
          <w:tcPr>
            <w:tcW w:w="1777"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lang w:val="en-US" w:eastAsia="zh-CN"/>
              </w:rPr>
              <w:t>特克斯镇卫生院在职人数</w:t>
            </w:r>
          </w:p>
        </w:tc>
        <w:tc>
          <w:tcPr>
            <w:tcW w:w="172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lang w:val="en-US" w:eastAsia="zh-CN"/>
              </w:rPr>
              <w:t>=25人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color w:val="000000"/>
                <w:kern w:val="0"/>
                <w:sz w:val="22"/>
                <w:szCs w:val="22"/>
                <w:highlight w:val="none"/>
                <w:lang w:val="en-US"/>
              </w:rPr>
            </w:pPr>
            <w:r>
              <w:rPr>
                <w:rFonts w:hint="eastAsia" w:ascii="宋体" w:hAnsi="宋体" w:eastAsia="宋体" w:cs="宋体"/>
                <w:kern w:val="0"/>
                <w:sz w:val="24"/>
                <w:lang w:val="en-US" w:eastAsia="zh-CN"/>
              </w:rPr>
              <w:t>25人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highlight w:val="none"/>
              </w:rPr>
            </w:pPr>
          </w:p>
        </w:tc>
        <w:tc>
          <w:tcPr>
            <w:tcW w:w="1777"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lang w:val="en-US" w:eastAsia="zh-CN"/>
              </w:rPr>
              <w:t>特克斯镇卫生院退休人数</w:t>
            </w:r>
          </w:p>
        </w:tc>
        <w:tc>
          <w:tcPr>
            <w:tcW w:w="172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lang w:val="en-US" w:eastAsia="zh-CN"/>
              </w:rPr>
              <w:t>=7人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kern w:val="0"/>
                <w:sz w:val="24"/>
                <w:lang w:val="en-US" w:eastAsia="zh-CN"/>
              </w:rPr>
              <w:t>7人</w:t>
            </w:r>
            <w:bookmarkStart w:id="37" w:name="_GoBack"/>
            <w:bookmarkEnd w:id="37"/>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质量指标</w:t>
            </w:r>
          </w:p>
        </w:tc>
        <w:tc>
          <w:tcPr>
            <w:tcW w:w="1777"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lang w:val="en-US" w:eastAsia="zh-CN"/>
              </w:rPr>
              <w:t>全系统人员工资及社保正常发放率</w:t>
            </w:r>
          </w:p>
        </w:tc>
        <w:tc>
          <w:tcPr>
            <w:tcW w:w="172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lang w:val="en-US" w:eastAsia="zh-CN"/>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highlight w:val="none"/>
              </w:rPr>
            </w:pPr>
          </w:p>
        </w:tc>
        <w:tc>
          <w:tcPr>
            <w:tcW w:w="1777"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lang w:val="en-US" w:eastAsia="zh-CN"/>
              </w:rPr>
              <w:t>慰问退休干部覆盖率</w:t>
            </w:r>
          </w:p>
        </w:tc>
        <w:tc>
          <w:tcPr>
            <w:tcW w:w="172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lang w:val="en-US" w:eastAsia="zh-CN"/>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时效指标</w:t>
            </w:r>
          </w:p>
        </w:tc>
        <w:tc>
          <w:tcPr>
            <w:tcW w:w="1777"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lang w:val="en-US" w:eastAsia="zh-CN"/>
              </w:rPr>
              <w:t>工资及补助发放及时率</w:t>
            </w:r>
          </w:p>
        </w:tc>
        <w:tc>
          <w:tcPr>
            <w:tcW w:w="172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lang w:val="en-US" w:eastAsia="zh-CN"/>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lang w:val="en-US" w:eastAsia="zh-CN"/>
              </w:rPr>
              <w:t>100%</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成本指标</w:t>
            </w:r>
          </w:p>
        </w:tc>
        <w:tc>
          <w:tcPr>
            <w:tcW w:w="1777"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szCs w:val="24"/>
                <w:lang w:val="en-US" w:eastAsia="zh-CN" w:bidi="ar-SA"/>
              </w:rPr>
              <w:t>人均工资福利支出</w:t>
            </w:r>
          </w:p>
        </w:tc>
        <w:tc>
          <w:tcPr>
            <w:tcW w:w="1729"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szCs w:val="24"/>
                <w:lang w:val="en-US" w:eastAsia="zh-CN" w:bidi="ar-SA"/>
              </w:rPr>
              <w:t>=10.99万元/人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szCs w:val="24"/>
                <w:lang w:val="en-US" w:eastAsia="zh-CN" w:bidi="ar-SA"/>
              </w:rPr>
              <w:t>10.99万元/人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777"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退休人员人均福利支出</w:t>
            </w:r>
          </w:p>
        </w:tc>
        <w:tc>
          <w:tcPr>
            <w:tcW w:w="172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szCs w:val="24"/>
                <w:lang w:val="en-US" w:eastAsia="zh-CN" w:bidi="ar-SA"/>
              </w:rPr>
              <w:t>=0.26万元/人</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szCs w:val="24"/>
                <w:lang w:val="en-US" w:eastAsia="zh-CN" w:bidi="ar-SA"/>
              </w:rPr>
              <w:t>0.26万元/人</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777"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 xml:space="preserve"> 提高全系统日常工作效率和质量</w:t>
            </w:r>
          </w:p>
        </w:tc>
        <w:tc>
          <w:tcPr>
            <w:tcW w:w="172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有效提高</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szCs w:val="24"/>
                <w:lang w:val="en-US" w:eastAsia="zh-CN" w:bidi="ar-SA"/>
              </w:rPr>
              <w:t>有效提高</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生态效益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777"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合理处置医疗废物垃圾</w:t>
            </w:r>
          </w:p>
        </w:tc>
        <w:tc>
          <w:tcPr>
            <w:tcW w:w="172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处置合理</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szCs w:val="24"/>
                <w:lang w:val="en-US" w:eastAsia="zh-CN" w:bidi="ar-SA"/>
              </w:rPr>
              <w:t>处置合理</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6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可持续影响</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777"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居民健康水平提高</w:t>
            </w:r>
          </w:p>
        </w:tc>
        <w:tc>
          <w:tcPr>
            <w:tcW w:w="172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有效提高</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szCs w:val="24"/>
                <w:lang w:val="en-US" w:eastAsia="zh-CN" w:bidi="ar-SA"/>
              </w:rPr>
              <w:t>有效提高</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9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1777"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患者满意度</w:t>
            </w:r>
          </w:p>
        </w:tc>
        <w:tc>
          <w:tcPr>
            <w:tcW w:w="172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szCs w:val="24"/>
                <w:lang w:val="en-US" w:eastAsia="zh-CN" w:bidi="ar-SA"/>
              </w:rPr>
              <w:t>≧94%</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szCs w:val="24"/>
                <w:lang w:val="en-US" w:eastAsia="zh-CN" w:bidi="ar-SA"/>
              </w:rPr>
              <w:t>94%</w:t>
            </w:r>
          </w:p>
        </w:tc>
      </w:tr>
      <w:tr>
        <w:tblPrEx>
          <w:tblCellMar>
            <w:top w:w="0" w:type="dxa"/>
            <w:left w:w="108" w:type="dxa"/>
            <w:bottom w:w="0" w:type="dxa"/>
            <w:right w:w="108" w:type="dxa"/>
          </w:tblCellMar>
        </w:tblPrEx>
        <w:trPr>
          <w:trHeight w:val="285" w:hRule="atLeast"/>
        </w:trPr>
        <w:tc>
          <w:tcPr>
            <w:tcW w:w="54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73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9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777"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szCs w:val="24"/>
                <w:lang w:val="en-US" w:eastAsia="zh-CN" w:bidi="ar-SA"/>
              </w:rPr>
              <w:t>干部职工满意度</w:t>
            </w:r>
          </w:p>
        </w:tc>
        <w:tc>
          <w:tcPr>
            <w:tcW w:w="172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szCs w:val="24"/>
                <w:lang w:val="en-US" w:eastAsia="zh-CN" w:bidi="ar-SA"/>
              </w:rPr>
              <w:t>=100%</w:t>
            </w:r>
          </w:p>
        </w:tc>
        <w:tc>
          <w:tcPr>
            <w:tcW w:w="2156"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kern w:val="0"/>
                <w:sz w:val="24"/>
                <w:szCs w:val="24"/>
                <w:lang w:val="en-US" w:eastAsia="zh-CN" w:bidi="ar-SA"/>
              </w:rPr>
              <w:t>100%</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1F1B0A"/>
    <w:multiLevelType w:val="singleLevel"/>
    <w:tmpl w:val="E41F1B0A"/>
    <w:lvl w:ilvl="0" w:tentative="0">
      <w:start w:val="2"/>
      <w:numFmt w:val="chineseCounting"/>
      <w:suff w:val="nothing"/>
      <w:lvlText w:val="（%1）"/>
      <w:lvlJc w:val="left"/>
      <w:rPr>
        <w:rFonts w:hint="eastAsia"/>
      </w:rPr>
    </w:lvl>
  </w:abstractNum>
  <w:abstractNum w:abstractNumId="1">
    <w:nsid w:val="2F439B19"/>
    <w:multiLevelType w:val="singleLevel"/>
    <w:tmpl w:val="2F439B19"/>
    <w:lvl w:ilvl="0" w:tentative="0">
      <w:start w:val="1"/>
      <w:numFmt w:val="decimal"/>
      <w:suff w:val="nothing"/>
      <w:lvlText w:val="%1、"/>
      <w:lvlJc w:val="left"/>
    </w:lvl>
  </w:abstractNum>
  <w:abstractNum w:abstractNumId="2">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9C5"/>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039B"/>
    <w:rsid w:val="00A43D21"/>
    <w:rsid w:val="00A55238"/>
    <w:rsid w:val="00AA5126"/>
    <w:rsid w:val="00AC4471"/>
    <w:rsid w:val="00AD16CD"/>
    <w:rsid w:val="00AF42EB"/>
    <w:rsid w:val="00B130FE"/>
    <w:rsid w:val="00B34A48"/>
    <w:rsid w:val="00B407C3"/>
    <w:rsid w:val="00B666A1"/>
    <w:rsid w:val="00BA1454"/>
    <w:rsid w:val="00C42609"/>
    <w:rsid w:val="00C4673D"/>
    <w:rsid w:val="00C71EA1"/>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19374B"/>
    <w:rsid w:val="012C391E"/>
    <w:rsid w:val="01C80E2B"/>
    <w:rsid w:val="020B6562"/>
    <w:rsid w:val="02887C05"/>
    <w:rsid w:val="02E40CB9"/>
    <w:rsid w:val="03304330"/>
    <w:rsid w:val="033B55DE"/>
    <w:rsid w:val="035707BE"/>
    <w:rsid w:val="03925F18"/>
    <w:rsid w:val="03A17A1D"/>
    <w:rsid w:val="03A3799C"/>
    <w:rsid w:val="03A70EB9"/>
    <w:rsid w:val="03B82BD5"/>
    <w:rsid w:val="03C01C1B"/>
    <w:rsid w:val="03D71443"/>
    <w:rsid w:val="03EA0D07"/>
    <w:rsid w:val="04135FC2"/>
    <w:rsid w:val="047E74E2"/>
    <w:rsid w:val="04E22431"/>
    <w:rsid w:val="05254622"/>
    <w:rsid w:val="058D48DD"/>
    <w:rsid w:val="05D21669"/>
    <w:rsid w:val="05F21553"/>
    <w:rsid w:val="05FB29F6"/>
    <w:rsid w:val="060F58DF"/>
    <w:rsid w:val="062E2ABB"/>
    <w:rsid w:val="0707173B"/>
    <w:rsid w:val="07614E5C"/>
    <w:rsid w:val="079706C6"/>
    <w:rsid w:val="08022CE2"/>
    <w:rsid w:val="08210D61"/>
    <w:rsid w:val="08240F7D"/>
    <w:rsid w:val="08857421"/>
    <w:rsid w:val="088D7CB9"/>
    <w:rsid w:val="08A673BB"/>
    <w:rsid w:val="09AA672E"/>
    <w:rsid w:val="09B6061F"/>
    <w:rsid w:val="09D02D7A"/>
    <w:rsid w:val="0AF136C0"/>
    <w:rsid w:val="0B224A4A"/>
    <w:rsid w:val="0B27604D"/>
    <w:rsid w:val="0B4F7612"/>
    <w:rsid w:val="0BAA540F"/>
    <w:rsid w:val="0C663AD6"/>
    <w:rsid w:val="0C8239E4"/>
    <w:rsid w:val="0CB72581"/>
    <w:rsid w:val="0CD179C0"/>
    <w:rsid w:val="0D7E740E"/>
    <w:rsid w:val="0D9A5F6A"/>
    <w:rsid w:val="0D9F3CE1"/>
    <w:rsid w:val="0DAE41A4"/>
    <w:rsid w:val="0DB24F20"/>
    <w:rsid w:val="0E126AA2"/>
    <w:rsid w:val="0E156D7D"/>
    <w:rsid w:val="0E7C3059"/>
    <w:rsid w:val="0E9A5E97"/>
    <w:rsid w:val="0F987DE0"/>
    <w:rsid w:val="0FEC7FBC"/>
    <w:rsid w:val="0FF737C8"/>
    <w:rsid w:val="10BB2863"/>
    <w:rsid w:val="10E15882"/>
    <w:rsid w:val="11263173"/>
    <w:rsid w:val="115A6F83"/>
    <w:rsid w:val="118E0D33"/>
    <w:rsid w:val="119945C7"/>
    <w:rsid w:val="11B244D5"/>
    <w:rsid w:val="11BF7DC7"/>
    <w:rsid w:val="12400D9C"/>
    <w:rsid w:val="12724B4A"/>
    <w:rsid w:val="12AB188F"/>
    <w:rsid w:val="131C7A95"/>
    <w:rsid w:val="135D564E"/>
    <w:rsid w:val="137B712A"/>
    <w:rsid w:val="13B9484A"/>
    <w:rsid w:val="13EA42E9"/>
    <w:rsid w:val="13FA768C"/>
    <w:rsid w:val="143B5CAD"/>
    <w:rsid w:val="1484257E"/>
    <w:rsid w:val="150126FB"/>
    <w:rsid w:val="16107457"/>
    <w:rsid w:val="1663225A"/>
    <w:rsid w:val="16717C3B"/>
    <w:rsid w:val="16832102"/>
    <w:rsid w:val="168769E9"/>
    <w:rsid w:val="16FC1A46"/>
    <w:rsid w:val="17753519"/>
    <w:rsid w:val="17830A2F"/>
    <w:rsid w:val="17E6131A"/>
    <w:rsid w:val="180D1FE1"/>
    <w:rsid w:val="181A358B"/>
    <w:rsid w:val="18492330"/>
    <w:rsid w:val="185A53CB"/>
    <w:rsid w:val="18C52F08"/>
    <w:rsid w:val="190A61BD"/>
    <w:rsid w:val="192167EE"/>
    <w:rsid w:val="1980480D"/>
    <w:rsid w:val="19A941EF"/>
    <w:rsid w:val="19BF7144"/>
    <w:rsid w:val="19E33CDE"/>
    <w:rsid w:val="1AA406AF"/>
    <w:rsid w:val="1AA84481"/>
    <w:rsid w:val="1ABF5410"/>
    <w:rsid w:val="1AD9564F"/>
    <w:rsid w:val="1B6037B5"/>
    <w:rsid w:val="1CA245C4"/>
    <w:rsid w:val="1D2F0EA9"/>
    <w:rsid w:val="1E1E2805"/>
    <w:rsid w:val="1E661D3A"/>
    <w:rsid w:val="1EB60E4D"/>
    <w:rsid w:val="1F405730"/>
    <w:rsid w:val="1F734F8F"/>
    <w:rsid w:val="1F87799A"/>
    <w:rsid w:val="1FF567CC"/>
    <w:rsid w:val="200850C8"/>
    <w:rsid w:val="205D6497"/>
    <w:rsid w:val="20652C4B"/>
    <w:rsid w:val="206C297B"/>
    <w:rsid w:val="208069D9"/>
    <w:rsid w:val="21DF1779"/>
    <w:rsid w:val="21EE5C2B"/>
    <w:rsid w:val="22251391"/>
    <w:rsid w:val="228A52B7"/>
    <w:rsid w:val="22D6265B"/>
    <w:rsid w:val="231B5F84"/>
    <w:rsid w:val="231F11F2"/>
    <w:rsid w:val="23A37CD7"/>
    <w:rsid w:val="24056F08"/>
    <w:rsid w:val="240F1528"/>
    <w:rsid w:val="243E2C9C"/>
    <w:rsid w:val="246F7338"/>
    <w:rsid w:val="24DE7308"/>
    <w:rsid w:val="250362C1"/>
    <w:rsid w:val="251146BA"/>
    <w:rsid w:val="25A314BB"/>
    <w:rsid w:val="26081665"/>
    <w:rsid w:val="260C31CF"/>
    <w:rsid w:val="26515170"/>
    <w:rsid w:val="269A4AE5"/>
    <w:rsid w:val="270021DD"/>
    <w:rsid w:val="27006EC4"/>
    <w:rsid w:val="27523FF5"/>
    <w:rsid w:val="275E7B74"/>
    <w:rsid w:val="27F55FDB"/>
    <w:rsid w:val="28083771"/>
    <w:rsid w:val="28873D38"/>
    <w:rsid w:val="29573698"/>
    <w:rsid w:val="2AB94D71"/>
    <w:rsid w:val="2AE05D15"/>
    <w:rsid w:val="2AE15652"/>
    <w:rsid w:val="2B0E7EF5"/>
    <w:rsid w:val="2B654F6E"/>
    <w:rsid w:val="2B682322"/>
    <w:rsid w:val="2B73047F"/>
    <w:rsid w:val="2BCA2044"/>
    <w:rsid w:val="2C8F208C"/>
    <w:rsid w:val="2CD30743"/>
    <w:rsid w:val="2D274E9F"/>
    <w:rsid w:val="2D817985"/>
    <w:rsid w:val="2D8F45F1"/>
    <w:rsid w:val="2D976FA3"/>
    <w:rsid w:val="2D9F56FC"/>
    <w:rsid w:val="2DFF10DB"/>
    <w:rsid w:val="2E7425DC"/>
    <w:rsid w:val="2E826E38"/>
    <w:rsid w:val="2EF62BB9"/>
    <w:rsid w:val="2F120E83"/>
    <w:rsid w:val="2F9851F6"/>
    <w:rsid w:val="300214FC"/>
    <w:rsid w:val="30602468"/>
    <w:rsid w:val="309121EB"/>
    <w:rsid w:val="30C95633"/>
    <w:rsid w:val="30F464C1"/>
    <w:rsid w:val="311C7242"/>
    <w:rsid w:val="31B50D6C"/>
    <w:rsid w:val="31DA751A"/>
    <w:rsid w:val="32024569"/>
    <w:rsid w:val="321D1B19"/>
    <w:rsid w:val="32A40D5F"/>
    <w:rsid w:val="32CB20DD"/>
    <w:rsid w:val="32E04C66"/>
    <w:rsid w:val="32EA0739"/>
    <w:rsid w:val="330048C4"/>
    <w:rsid w:val="332276D4"/>
    <w:rsid w:val="335C62DD"/>
    <w:rsid w:val="335E624A"/>
    <w:rsid w:val="33870278"/>
    <w:rsid w:val="33AA075D"/>
    <w:rsid w:val="33D60A36"/>
    <w:rsid w:val="34356161"/>
    <w:rsid w:val="34C30696"/>
    <w:rsid w:val="34C55B06"/>
    <w:rsid w:val="34EB5D56"/>
    <w:rsid w:val="35184F2F"/>
    <w:rsid w:val="35B336E5"/>
    <w:rsid w:val="35C96ED9"/>
    <w:rsid w:val="35CD3FD6"/>
    <w:rsid w:val="3614326C"/>
    <w:rsid w:val="363A6149"/>
    <w:rsid w:val="36602650"/>
    <w:rsid w:val="368175EA"/>
    <w:rsid w:val="36B60C44"/>
    <w:rsid w:val="36E86040"/>
    <w:rsid w:val="37102D96"/>
    <w:rsid w:val="37370909"/>
    <w:rsid w:val="376707D6"/>
    <w:rsid w:val="381368E0"/>
    <w:rsid w:val="38650266"/>
    <w:rsid w:val="38DB11C2"/>
    <w:rsid w:val="39004FAC"/>
    <w:rsid w:val="390944EB"/>
    <w:rsid w:val="39983C8B"/>
    <w:rsid w:val="39AA1B7F"/>
    <w:rsid w:val="39F737EA"/>
    <w:rsid w:val="3A1B3766"/>
    <w:rsid w:val="3A421344"/>
    <w:rsid w:val="3A4A5D93"/>
    <w:rsid w:val="3A4C2742"/>
    <w:rsid w:val="3A9504A3"/>
    <w:rsid w:val="3AAB0B3D"/>
    <w:rsid w:val="3AE43B6A"/>
    <w:rsid w:val="3AED259D"/>
    <w:rsid w:val="3AFD3D09"/>
    <w:rsid w:val="3B633F66"/>
    <w:rsid w:val="3B706354"/>
    <w:rsid w:val="3B8B0EED"/>
    <w:rsid w:val="3BB63C3E"/>
    <w:rsid w:val="3C066A41"/>
    <w:rsid w:val="3C815A75"/>
    <w:rsid w:val="3C851FCD"/>
    <w:rsid w:val="3C9E04EC"/>
    <w:rsid w:val="3CB02B07"/>
    <w:rsid w:val="3D2E5466"/>
    <w:rsid w:val="3D770C67"/>
    <w:rsid w:val="3DE76E53"/>
    <w:rsid w:val="3E356049"/>
    <w:rsid w:val="3E935A23"/>
    <w:rsid w:val="3F7C58E2"/>
    <w:rsid w:val="3FD7056F"/>
    <w:rsid w:val="40AF53B3"/>
    <w:rsid w:val="40DC42BE"/>
    <w:rsid w:val="40E16892"/>
    <w:rsid w:val="41563CB3"/>
    <w:rsid w:val="4171520C"/>
    <w:rsid w:val="41D50676"/>
    <w:rsid w:val="426A731A"/>
    <w:rsid w:val="427354E1"/>
    <w:rsid w:val="42EF1F14"/>
    <w:rsid w:val="430170F5"/>
    <w:rsid w:val="434B2FE3"/>
    <w:rsid w:val="436C6E39"/>
    <w:rsid w:val="437722AE"/>
    <w:rsid w:val="43980797"/>
    <w:rsid w:val="439E0692"/>
    <w:rsid w:val="43AF115D"/>
    <w:rsid w:val="43CD47FE"/>
    <w:rsid w:val="43D8666A"/>
    <w:rsid w:val="43DF46CD"/>
    <w:rsid w:val="440529AB"/>
    <w:rsid w:val="4430441E"/>
    <w:rsid w:val="4448240D"/>
    <w:rsid w:val="44505662"/>
    <w:rsid w:val="44912836"/>
    <w:rsid w:val="44B31C3C"/>
    <w:rsid w:val="44C7487B"/>
    <w:rsid w:val="44C76A2E"/>
    <w:rsid w:val="44D3620E"/>
    <w:rsid w:val="450714B3"/>
    <w:rsid w:val="451A0956"/>
    <w:rsid w:val="45926A4D"/>
    <w:rsid w:val="45B565C5"/>
    <w:rsid w:val="4656258A"/>
    <w:rsid w:val="46CF5EB8"/>
    <w:rsid w:val="470729C3"/>
    <w:rsid w:val="4717199F"/>
    <w:rsid w:val="472748C2"/>
    <w:rsid w:val="47B90A40"/>
    <w:rsid w:val="47F93599"/>
    <w:rsid w:val="488221FF"/>
    <w:rsid w:val="4891738D"/>
    <w:rsid w:val="48933724"/>
    <w:rsid w:val="48BA096C"/>
    <w:rsid w:val="48D6059F"/>
    <w:rsid w:val="493F7A5A"/>
    <w:rsid w:val="4969366E"/>
    <w:rsid w:val="49C31E19"/>
    <w:rsid w:val="4A1F7253"/>
    <w:rsid w:val="4A6D18A9"/>
    <w:rsid w:val="4A916B85"/>
    <w:rsid w:val="4BBB52E8"/>
    <w:rsid w:val="4C2E6A83"/>
    <w:rsid w:val="4C7D0878"/>
    <w:rsid w:val="4C7F4D4D"/>
    <w:rsid w:val="4C92109C"/>
    <w:rsid w:val="4CC140E8"/>
    <w:rsid w:val="4D0C1C18"/>
    <w:rsid w:val="4D18200F"/>
    <w:rsid w:val="4D3D487C"/>
    <w:rsid w:val="4D7E0A99"/>
    <w:rsid w:val="4D867FA0"/>
    <w:rsid w:val="4D88772C"/>
    <w:rsid w:val="4DAB434D"/>
    <w:rsid w:val="4DFC12BE"/>
    <w:rsid w:val="4E0C4028"/>
    <w:rsid w:val="4E530E40"/>
    <w:rsid w:val="4EA56CAC"/>
    <w:rsid w:val="4EC475B4"/>
    <w:rsid w:val="4EF573E7"/>
    <w:rsid w:val="4F54064D"/>
    <w:rsid w:val="4FC834C3"/>
    <w:rsid w:val="4FF36E7C"/>
    <w:rsid w:val="502C0702"/>
    <w:rsid w:val="503E3890"/>
    <w:rsid w:val="50A60160"/>
    <w:rsid w:val="51F67243"/>
    <w:rsid w:val="52130730"/>
    <w:rsid w:val="52685C4A"/>
    <w:rsid w:val="52B362F9"/>
    <w:rsid w:val="52E7383F"/>
    <w:rsid w:val="52F81EF3"/>
    <w:rsid w:val="53041B97"/>
    <w:rsid w:val="53141CFD"/>
    <w:rsid w:val="535A7484"/>
    <w:rsid w:val="536816EA"/>
    <w:rsid w:val="53BC39C2"/>
    <w:rsid w:val="541B07FA"/>
    <w:rsid w:val="54993EDF"/>
    <w:rsid w:val="54A02D7C"/>
    <w:rsid w:val="54A715B2"/>
    <w:rsid w:val="555E416F"/>
    <w:rsid w:val="558D0A8B"/>
    <w:rsid w:val="55C84515"/>
    <w:rsid w:val="55D938D3"/>
    <w:rsid w:val="56300233"/>
    <w:rsid w:val="56366134"/>
    <w:rsid w:val="56872DE7"/>
    <w:rsid w:val="569222CA"/>
    <w:rsid w:val="56EC5D34"/>
    <w:rsid w:val="5747457B"/>
    <w:rsid w:val="5764514F"/>
    <w:rsid w:val="57B52DED"/>
    <w:rsid w:val="57E91E1B"/>
    <w:rsid w:val="58001A76"/>
    <w:rsid w:val="588C16E6"/>
    <w:rsid w:val="58B374DC"/>
    <w:rsid w:val="58F35665"/>
    <w:rsid w:val="599C56A3"/>
    <w:rsid w:val="59CA196C"/>
    <w:rsid w:val="5A074550"/>
    <w:rsid w:val="5A181572"/>
    <w:rsid w:val="5AAB00E6"/>
    <w:rsid w:val="5AD23BBA"/>
    <w:rsid w:val="5AE80D32"/>
    <w:rsid w:val="5B48270C"/>
    <w:rsid w:val="5B6B7F25"/>
    <w:rsid w:val="5B9E3381"/>
    <w:rsid w:val="5BB56698"/>
    <w:rsid w:val="5C0C655C"/>
    <w:rsid w:val="5C4B0139"/>
    <w:rsid w:val="5C6C1C19"/>
    <w:rsid w:val="5C8C29E3"/>
    <w:rsid w:val="5CE76FE8"/>
    <w:rsid w:val="5CED392C"/>
    <w:rsid w:val="5D00340E"/>
    <w:rsid w:val="5D3C4760"/>
    <w:rsid w:val="5D5E1B65"/>
    <w:rsid w:val="5D814A87"/>
    <w:rsid w:val="5D9A6DC5"/>
    <w:rsid w:val="5DC76F21"/>
    <w:rsid w:val="5DEB2A13"/>
    <w:rsid w:val="5DFD790A"/>
    <w:rsid w:val="5DFD7BFA"/>
    <w:rsid w:val="5E2763B1"/>
    <w:rsid w:val="5E527FEC"/>
    <w:rsid w:val="5EA35C56"/>
    <w:rsid w:val="5F3819E9"/>
    <w:rsid w:val="5F60565A"/>
    <w:rsid w:val="5FC90983"/>
    <w:rsid w:val="5FCE2EF5"/>
    <w:rsid w:val="5FE11348"/>
    <w:rsid w:val="60244EF9"/>
    <w:rsid w:val="60642375"/>
    <w:rsid w:val="60A6327A"/>
    <w:rsid w:val="60BB7C08"/>
    <w:rsid w:val="60E07694"/>
    <w:rsid w:val="61326B6C"/>
    <w:rsid w:val="617B380A"/>
    <w:rsid w:val="61EF6ACC"/>
    <w:rsid w:val="620C344C"/>
    <w:rsid w:val="621C155B"/>
    <w:rsid w:val="62DD1251"/>
    <w:rsid w:val="6320397E"/>
    <w:rsid w:val="635B0CCA"/>
    <w:rsid w:val="641C3268"/>
    <w:rsid w:val="644F1370"/>
    <w:rsid w:val="64DF3B0B"/>
    <w:rsid w:val="651F5149"/>
    <w:rsid w:val="65213465"/>
    <w:rsid w:val="654746A7"/>
    <w:rsid w:val="65CE1048"/>
    <w:rsid w:val="66476CC8"/>
    <w:rsid w:val="66547CB1"/>
    <w:rsid w:val="666F716D"/>
    <w:rsid w:val="66C72EB0"/>
    <w:rsid w:val="66F42717"/>
    <w:rsid w:val="67122D36"/>
    <w:rsid w:val="67501D91"/>
    <w:rsid w:val="687662BC"/>
    <w:rsid w:val="68A832F6"/>
    <w:rsid w:val="696B63FE"/>
    <w:rsid w:val="69D527CC"/>
    <w:rsid w:val="69D56449"/>
    <w:rsid w:val="69F22BA5"/>
    <w:rsid w:val="69FA181B"/>
    <w:rsid w:val="6A5C05F9"/>
    <w:rsid w:val="6AE4459A"/>
    <w:rsid w:val="6B9F3E4C"/>
    <w:rsid w:val="6BB214A4"/>
    <w:rsid w:val="6BC77BC0"/>
    <w:rsid w:val="6BCC4D17"/>
    <w:rsid w:val="6BFF6191"/>
    <w:rsid w:val="6D0D5683"/>
    <w:rsid w:val="6D2F396C"/>
    <w:rsid w:val="6D8F7B84"/>
    <w:rsid w:val="6E0F3075"/>
    <w:rsid w:val="6E2910EE"/>
    <w:rsid w:val="6EA96782"/>
    <w:rsid w:val="6F4E4986"/>
    <w:rsid w:val="6F5647C2"/>
    <w:rsid w:val="6F60260C"/>
    <w:rsid w:val="708A25AE"/>
    <w:rsid w:val="708C4C06"/>
    <w:rsid w:val="715045BF"/>
    <w:rsid w:val="715C49FF"/>
    <w:rsid w:val="71741D28"/>
    <w:rsid w:val="71F60836"/>
    <w:rsid w:val="72747A14"/>
    <w:rsid w:val="72856DFF"/>
    <w:rsid w:val="72912466"/>
    <w:rsid w:val="72A97B9B"/>
    <w:rsid w:val="72C27A78"/>
    <w:rsid w:val="73613B90"/>
    <w:rsid w:val="73C600AE"/>
    <w:rsid w:val="73DE7141"/>
    <w:rsid w:val="73DF2C0D"/>
    <w:rsid w:val="73E726F0"/>
    <w:rsid w:val="73EC68B0"/>
    <w:rsid w:val="746D0F8A"/>
    <w:rsid w:val="74881D80"/>
    <w:rsid w:val="74D32B17"/>
    <w:rsid w:val="7508325C"/>
    <w:rsid w:val="75124476"/>
    <w:rsid w:val="752E62F2"/>
    <w:rsid w:val="75534EBB"/>
    <w:rsid w:val="75DF23AF"/>
    <w:rsid w:val="75E87E00"/>
    <w:rsid w:val="76564426"/>
    <w:rsid w:val="76AF0A1B"/>
    <w:rsid w:val="77E654DC"/>
    <w:rsid w:val="77EB2D22"/>
    <w:rsid w:val="77F34911"/>
    <w:rsid w:val="77FE0A28"/>
    <w:rsid w:val="78B63BD8"/>
    <w:rsid w:val="79A0309A"/>
    <w:rsid w:val="79A36C5C"/>
    <w:rsid w:val="7A43209D"/>
    <w:rsid w:val="7A5B640B"/>
    <w:rsid w:val="7A7E3294"/>
    <w:rsid w:val="7B1522E1"/>
    <w:rsid w:val="7B9971E8"/>
    <w:rsid w:val="7B9F796D"/>
    <w:rsid w:val="7BE85BD0"/>
    <w:rsid w:val="7C295A94"/>
    <w:rsid w:val="7D2D4D68"/>
    <w:rsid w:val="7D536E1C"/>
    <w:rsid w:val="7D90068F"/>
    <w:rsid w:val="7D9F3060"/>
    <w:rsid w:val="7DE14C87"/>
    <w:rsid w:val="7DF86C08"/>
    <w:rsid w:val="7E1F33A4"/>
    <w:rsid w:val="7E4B7A3C"/>
    <w:rsid w:val="7E4F48D6"/>
    <w:rsid w:val="7E894E7D"/>
    <w:rsid w:val="7EAD0714"/>
    <w:rsid w:val="7EFB2F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8491</Words>
  <Characters>9092</Characters>
  <Lines>72</Lines>
  <Paragraphs>20</Paragraphs>
  <TotalTime>4</TotalTime>
  <ScaleCrop>false</ScaleCrop>
  <LinksUpToDate>false</LinksUpToDate>
  <CharactersWithSpaces>9328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2022-05-27T11:58:27Z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